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458F0" w14:textId="24043DC0" w:rsidR="0017642D" w:rsidRPr="008101C0" w:rsidRDefault="00A0185B" w:rsidP="008101C0">
      <w:pPr>
        <w:pStyle w:val="Title"/>
        <w:rPr>
          <w:sz w:val="40"/>
          <w:szCs w:val="40"/>
        </w:rPr>
      </w:pPr>
      <w:r w:rsidRPr="008101C0">
        <w:rPr>
          <w:sz w:val="40"/>
          <w:szCs w:val="40"/>
        </w:rPr>
        <w:t>European Medicines Agency – accessed 18/05/2022 for additional safety warnings</w:t>
      </w:r>
    </w:p>
    <w:p w14:paraId="32CC491D" w14:textId="51C1C1D8" w:rsidR="00A0185B" w:rsidRDefault="00A0185B"/>
    <w:sdt>
      <w:sdtPr>
        <w:rPr>
          <w:rFonts w:asciiTheme="minorHAnsi" w:eastAsiaTheme="minorHAnsi" w:hAnsiTheme="minorHAnsi" w:cstheme="minorBidi"/>
          <w:color w:val="auto"/>
          <w:sz w:val="22"/>
          <w:szCs w:val="22"/>
          <w:lang w:val="en-GB"/>
        </w:rPr>
        <w:id w:val="-1262225708"/>
        <w:docPartObj>
          <w:docPartGallery w:val="Table of Contents"/>
          <w:docPartUnique/>
        </w:docPartObj>
      </w:sdtPr>
      <w:sdtEndPr>
        <w:rPr>
          <w:b/>
          <w:bCs/>
          <w:noProof/>
        </w:rPr>
      </w:sdtEndPr>
      <w:sdtContent>
        <w:p w14:paraId="37A92557" w14:textId="61AA3938" w:rsidR="001F51DC" w:rsidRDefault="001F51DC">
          <w:pPr>
            <w:pStyle w:val="TOCHeading"/>
          </w:pPr>
          <w:r>
            <w:t>Table of Contents</w:t>
          </w:r>
        </w:p>
        <w:p w14:paraId="64D18A78" w14:textId="157C2955" w:rsidR="00D84D2B" w:rsidRDefault="001F51DC">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04798904" w:history="1">
            <w:r w:rsidR="00D84D2B" w:rsidRPr="00986080">
              <w:rPr>
                <w:rStyle w:val="Hyperlink"/>
                <w:noProof/>
              </w:rPr>
              <w:t>PMS DMTs</w:t>
            </w:r>
            <w:r w:rsidR="00D84D2B">
              <w:rPr>
                <w:noProof/>
                <w:webHidden/>
              </w:rPr>
              <w:tab/>
            </w:r>
            <w:r w:rsidR="00D84D2B">
              <w:rPr>
                <w:noProof/>
                <w:webHidden/>
              </w:rPr>
              <w:fldChar w:fldCharType="begin"/>
            </w:r>
            <w:r w:rsidR="00D84D2B">
              <w:rPr>
                <w:noProof/>
                <w:webHidden/>
              </w:rPr>
              <w:instrText xml:space="preserve"> PAGEREF _Toc104798904 \h </w:instrText>
            </w:r>
            <w:r w:rsidR="00D84D2B">
              <w:rPr>
                <w:noProof/>
                <w:webHidden/>
              </w:rPr>
            </w:r>
            <w:r w:rsidR="00D84D2B">
              <w:rPr>
                <w:noProof/>
                <w:webHidden/>
              </w:rPr>
              <w:fldChar w:fldCharType="separate"/>
            </w:r>
            <w:r w:rsidR="00D84D2B">
              <w:rPr>
                <w:noProof/>
                <w:webHidden/>
              </w:rPr>
              <w:t>2</w:t>
            </w:r>
            <w:r w:rsidR="00D84D2B">
              <w:rPr>
                <w:noProof/>
                <w:webHidden/>
              </w:rPr>
              <w:fldChar w:fldCharType="end"/>
            </w:r>
          </w:hyperlink>
        </w:p>
        <w:p w14:paraId="55BA05E5" w14:textId="4D7E3908" w:rsidR="00D84D2B" w:rsidRDefault="007B3B4E">
          <w:pPr>
            <w:pStyle w:val="TOC2"/>
            <w:tabs>
              <w:tab w:val="right" w:leader="dot" w:pos="9016"/>
            </w:tabs>
            <w:rPr>
              <w:rFonts w:eastAsiaTheme="minorEastAsia"/>
              <w:noProof/>
              <w:lang w:eastAsia="en-GB"/>
            </w:rPr>
          </w:pPr>
          <w:hyperlink w:anchor="_Toc104798905" w:history="1">
            <w:r w:rsidR="00D84D2B" w:rsidRPr="00986080">
              <w:rPr>
                <w:rStyle w:val="Hyperlink"/>
                <w:noProof/>
              </w:rPr>
              <w:t>Azathioprine – off-label, several brands exist</w:t>
            </w:r>
            <w:r w:rsidR="00D84D2B">
              <w:rPr>
                <w:noProof/>
                <w:webHidden/>
              </w:rPr>
              <w:tab/>
            </w:r>
            <w:r w:rsidR="00D84D2B">
              <w:rPr>
                <w:noProof/>
                <w:webHidden/>
              </w:rPr>
              <w:fldChar w:fldCharType="begin"/>
            </w:r>
            <w:r w:rsidR="00D84D2B">
              <w:rPr>
                <w:noProof/>
                <w:webHidden/>
              </w:rPr>
              <w:instrText xml:space="preserve"> PAGEREF _Toc104798905 \h </w:instrText>
            </w:r>
            <w:r w:rsidR="00D84D2B">
              <w:rPr>
                <w:noProof/>
                <w:webHidden/>
              </w:rPr>
            </w:r>
            <w:r w:rsidR="00D84D2B">
              <w:rPr>
                <w:noProof/>
                <w:webHidden/>
              </w:rPr>
              <w:fldChar w:fldCharType="separate"/>
            </w:r>
            <w:r w:rsidR="00D84D2B">
              <w:rPr>
                <w:noProof/>
                <w:webHidden/>
              </w:rPr>
              <w:t>2</w:t>
            </w:r>
            <w:r w:rsidR="00D84D2B">
              <w:rPr>
                <w:noProof/>
                <w:webHidden/>
              </w:rPr>
              <w:fldChar w:fldCharType="end"/>
            </w:r>
          </w:hyperlink>
        </w:p>
        <w:p w14:paraId="5C80F609" w14:textId="3280351F" w:rsidR="00D84D2B" w:rsidRDefault="007B3B4E">
          <w:pPr>
            <w:pStyle w:val="TOC2"/>
            <w:tabs>
              <w:tab w:val="right" w:leader="dot" w:pos="9016"/>
            </w:tabs>
            <w:rPr>
              <w:rFonts w:eastAsiaTheme="minorEastAsia"/>
              <w:noProof/>
              <w:lang w:eastAsia="en-GB"/>
            </w:rPr>
          </w:pPr>
          <w:hyperlink w:anchor="_Toc104798906" w:history="1">
            <w:r w:rsidR="00D84D2B" w:rsidRPr="00986080">
              <w:rPr>
                <w:rStyle w:val="Hyperlink"/>
                <w:noProof/>
              </w:rPr>
              <w:t>Fingolimod</w:t>
            </w:r>
            <w:r w:rsidR="00D84D2B">
              <w:rPr>
                <w:noProof/>
                <w:webHidden/>
              </w:rPr>
              <w:tab/>
            </w:r>
            <w:r w:rsidR="00D84D2B">
              <w:rPr>
                <w:noProof/>
                <w:webHidden/>
              </w:rPr>
              <w:fldChar w:fldCharType="begin"/>
            </w:r>
            <w:r w:rsidR="00D84D2B">
              <w:rPr>
                <w:noProof/>
                <w:webHidden/>
              </w:rPr>
              <w:instrText xml:space="preserve"> PAGEREF _Toc104798906 \h </w:instrText>
            </w:r>
            <w:r w:rsidR="00D84D2B">
              <w:rPr>
                <w:noProof/>
                <w:webHidden/>
              </w:rPr>
            </w:r>
            <w:r w:rsidR="00D84D2B">
              <w:rPr>
                <w:noProof/>
                <w:webHidden/>
              </w:rPr>
              <w:fldChar w:fldCharType="separate"/>
            </w:r>
            <w:r w:rsidR="00D84D2B">
              <w:rPr>
                <w:noProof/>
                <w:webHidden/>
              </w:rPr>
              <w:t>2</w:t>
            </w:r>
            <w:r w:rsidR="00D84D2B">
              <w:rPr>
                <w:noProof/>
                <w:webHidden/>
              </w:rPr>
              <w:fldChar w:fldCharType="end"/>
            </w:r>
          </w:hyperlink>
        </w:p>
        <w:p w14:paraId="5A6B9AEC" w14:textId="509C896E" w:rsidR="00D84D2B" w:rsidRDefault="007B3B4E">
          <w:pPr>
            <w:pStyle w:val="TOC2"/>
            <w:tabs>
              <w:tab w:val="right" w:leader="dot" w:pos="9016"/>
            </w:tabs>
            <w:rPr>
              <w:rFonts w:eastAsiaTheme="minorEastAsia"/>
              <w:noProof/>
              <w:lang w:eastAsia="en-GB"/>
            </w:rPr>
          </w:pPr>
          <w:hyperlink w:anchor="_Toc104798907" w:history="1">
            <w:r w:rsidR="00D84D2B" w:rsidRPr="00986080">
              <w:rPr>
                <w:rStyle w:val="Hyperlink"/>
                <w:noProof/>
              </w:rPr>
              <w:t>Glatiramer acetate: several brands available</w:t>
            </w:r>
            <w:r w:rsidR="00D84D2B">
              <w:rPr>
                <w:noProof/>
                <w:webHidden/>
              </w:rPr>
              <w:tab/>
            </w:r>
            <w:r w:rsidR="00D84D2B">
              <w:rPr>
                <w:noProof/>
                <w:webHidden/>
              </w:rPr>
              <w:fldChar w:fldCharType="begin"/>
            </w:r>
            <w:r w:rsidR="00D84D2B">
              <w:rPr>
                <w:noProof/>
                <w:webHidden/>
              </w:rPr>
              <w:instrText xml:space="preserve"> PAGEREF _Toc104798907 \h </w:instrText>
            </w:r>
            <w:r w:rsidR="00D84D2B">
              <w:rPr>
                <w:noProof/>
                <w:webHidden/>
              </w:rPr>
            </w:r>
            <w:r w:rsidR="00D84D2B">
              <w:rPr>
                <w:noProof/>
                <w:webHidden/>
              </w:rPr>
              <w:fldChar w:fldCharType="separate"/>
            </w:r>
            <w:r w:rsidR="00D84D2B">
              <w:rPr>
                <w:noProof/>
                <w:webHidden/>
              </w:rPr>
              <w:t>15</w:t>
            </w:r>
            <w:r w:rsidR="00D84D2B">
              <w:rPr>
                <w:noProof/>
                <w:webHidden/>
              </w:rPr>
              <w:fldChar w:fldCharType="end"/>
            </w:r>
          </w:hyperlink>
        </w:p>
        <w:p w14:paraId="6D233FE6" w14:textId="4E17FFD1" w:rsidR="00D84D2B" w:rsidRDefault="007B3B4E">
          <w:pPr>
            <w:pStyle w:val="TOC2"/>
            <w:tabs>
              <w:tab w:val="right" w:leader="dot" w:pos="9016"/>
            </w:tabs>
            <w:rPr>
              <w:rFonts w:eastAsiaTheme="minorEastAsia"/>
              <w:noProof/>
              <w:lang w:eastAsia="en-GB"/>
            </w:rPr>
          </w:pPr>
          <w:hyperlink w:anchor="_Toc104798908" w:history="1">
            <w:r w:rsidR="00D84D2B" w:rsidRPr="00986080">
              <w:rPr>
                <w:rStyle w:val="Hyperlink"/>
                <w:noProof/>
              </w:rPr>
              <w:t xml:space="preserve">Interferon beta-1a: </w:t>
            </w:r>
            <w:r w:rsidR="00D84D2B" w:rsidRPr="00986080">
              <w:rPr>
                <w:rStyle w:val="Hyperlink"/>
                <w:i/>
                <w:iCs/>
                <w:noProof/>
              </w:rPr>
              <w:t>Rebif</w:t>
            </w:r>
            <w:r w:rsidR="00D84D2B">
              <w:rPr>
                <w:noProof/>
                <w:webHidden/>
              </w:rPr>
              <w:tab/>
            </w:r>
            <w:r w:rsidR="00D84D2B">
              <w:rPr>
                <w:noProof/>
                <w:webHidden/>
              </w:rPr>
              <w:fldChar w:fldCharType="begin"/>
            </w:r>
            <w:r w:rsidR="00D84D2B">
              <w:rPr>
                <w:noProof/>
                <w:webHidden/>
              </w:rPr>
              <w:instrText xml:space="preserve"> PAGEREF _Toc104798908 \h </w:instrText>
            </w:r>
            <w:r w:rsidR="00D84D2B">
              <w:rPr>
                <w:noProof/>
                <w:webHidden/>
              </w:rPr>
            </w:r>
            <w:r w:rsidR="00D84D2B">
              <w:rPr>
                <w:noProof/>
                <w:webHidden/>
              </w:rPr>
              <w:fldChar w:fldCharType="separate"/>
            </w:r>
            <w:r w:rsidR="00D84D2B">
              <w:rPr>
                <w:noProof/>
                <w:webHidden/>
              </w:rPr>
              <w:t>15</w:t>
            </w:r>
            <w:r w:rsidR="00D84D2B">
              <w:rPr>
                <w:noProof/>
                <w:webHidden/>
              </w:rPr>
              <w:fldChar w:fldCharType="end"/>
            </w:r>
          </w:hyperlink>
        </w:p>
        <w:p w14:paraId="7C575788" w14:textId="6BFAB8E3" w:rsidR="00D84D2B" w:rsidRDefault="007B3B4E">
          <w:pPr>
            <w:pStyle w:val="TOC2"/>
            <w:tabs>
              <w:tab w:val="right" w:leader="dot" w:pos="9016"/>
            </w:tabs>
            <w:rPr>
              <w:rFonts w:eastAsiaTheme="minorEastAsia"/>
              <w:noProof/>
              <w:lang w:eastAsia="en-GB"/>
            </w:rPr>
          </w:pPr>
          <w:hyperlink w:anchor="_Toc104798909" w:history="1">
            <w:r w:rsidR="00D84D2B" w:rsidRPr="00986080">
              <w:rPr>
                <w:rStyle w:val="Hyperlink"/>
                <w:noProof/>
              </w:rPr>
              <w:t xml:space="preserve">Interferon beta-1b: </w:t>
            </w:r>
            <w:r w:rsidR="00D84D2B" w:rsidRPr="00986080">
              <w:rPr>
                <w:rStyle w:val="Hyperlink"/>
                <w:i/>
                <w:iCs/>
                <w:noProof/>
              </w:rPr>
              <w:t>Betaferon</w:t>
            </w:r>
            <w:r w:rsidR="00D84D2B">
              <w:rPr>
                <w:noProof/>
                <w:webHidden/>
              </w:rPr>
              <w:tab/>
            </w:r>
            <w:r w:rsidR="00D84D2B">
              <w:rPr>
                <w:noProof/>
                <w:webHidden/>
              </w:rPr>
              <w:fldChar w:fldCharType="begin"/>
            </w:r>
            <w:r w:rsidR="00D84D2B">
              <w:rPr>
                <w:noProof/>
                <w:webHidden/>
              </w:rPr>
              <w:instrText xml:space="preserve"> PAGEREF _Toc104798909 \h </w:instrText>
            </w:r>
            <w:r w:rsidR="00D84D2B">
              <w:rPr>
                <w:noProof/>
                <w:webHidden/>
              </w:rPr>
            </w:r>
            <w:r w:rsidR="00D84D2B">
              <w:rPr>
                <w:noProof/>
                <w:webHidden/>
              </w:rPr>
              <w:fldChar w:fldCharType="separate"/>
            </w:r>
            <w:r w:rsidR="00D84D2B">
              <w:rPr>
                <w:noProof/>
                <w:webHidden/>
              </w:rPr>
              <w:t>19</w:t>
            </w:r>
            <w:r w:rsidR="00D84D2B">
              <w:rPr>
                <w:noProof/>
                <w:webHidden/>
              </w:rPr>
              <w:fldChar w:fldCharType="end"/>
            </w:r>
          </w:hyperlink>
        </w:p>
        <w:p w14:paraId="3DC5FBB6" w14:textId="57981B4F" w:rsidR="00D84D2B" w:rsidRDefault="007B3B4E">
          <w:pPr>
            <w:pStyle w:val="TOC2"/>
            <w:tabs>
              <w:tab w:val="right" w:leader="dot" w:pos="9016"/>
            </w:tabs>
            <w:rPr>
              <w:rFonts w:eastAsiaTheme="minorEastAsia"/>
              <w:noProof/>
              <w:lang w:eastAsia="en-GB"/>
            </w:rPr>
          </w:pPr>
          <w:hyperlink w:anchor="_Toc104798910" w:history="1">
            <w:r w:rsidR="00D84D2B" w:rsidRPr="00986080">
              <w:rPr>
                <w:rStyle w:val="Hyperlink"/>
                <w:noProof/>
              </w:rPr>
              <w:t>Methotrexate – off-label, several brands exist</w:t>
            </w:r>
            <w:r w:rsidR="00D84D2B">
              <w:rPr>
                <w:noProof/>
                <w:webHidden/>
              </w:rPr>
              <w:tab/>
            </w:r>
            <w:r w:rsidR="00D84D2B">
              <w:rPr>
                <w:noProof/>
                <w:webHidden/>
              </w:rPr>
              <w:fldChar w:fldCharType="begin"/>
            </w:r>
            <w:r w:rsidR="00D84D2B">
              <w:rPr>
                <w:noProof/>
                <w:webHidden/>
              </w:rPr>
              <w:instrText xml:space="preserve"> PAGEREF _Toc104798910 \h </w:instrText>
            </w:r>
            <w:r w:rsidR="00D84D2B">
              <w:rPr>
                <w:noProof/>
                <w:webHidden/>
              </w:rPr>
            </w:r>
            <w:r w:rsidR="00D84D2B">
              <w:rPr>
                <w:noProof/>
                <w:webHidden/>
              </w:rPr>
              <w:fldChar w:fldCharType="separate"/>
            </w:r>
            <w:r w:rsidR="00D84D2B">
              <w:rPr>
                <w:noProof/>
                <w:webHidden/>
              </w:rPr>
              <w:t>21</w:t>
            </w:r>
            <w:r w:rsidR="00D84D2B">
              <w:rPr>
                <w:noProof/>
                <w:webHidden/>
              </w:rPr>
              <w:fldChar w:fldCharType="end"/>
            </w:r>
          </w:hyperlink>
        </w:p>
        <w:p w14:paraId="6F563FF8" w14:textId="48E76B92" w:rsidR="00D84D2B" w:rsidRDefault="007B3B4E">
          <w:pPr>
            <w:pStyle w:val="TOC2"/>
            <w:tabs>
              <w:tab w:val="right" w:leader="dot" w:pos="9016"/>
            </w:tabs>
            <w:rPr>
              <w:rFonts w:eastAsiaTheme="minorEastAsia"/>
              <w:noProof/>
              <w:lang w:eastAsia="en-GB"/>
            </w:rPr>
          </w:pPr>
          <w:hyperlink w:anchor="_Toc104798911" w:history="1">
            <w:r w:rsidR="00D84D2B" w:rsidRPr="00986080">
              <w:rPr>
                <w:rStyle w:val="Hyperlink"/>
                <w:noProof/>
              </w:rPr>
              <w:t xml:space="preserve">Natalizumab: </w:t>
            </w:r>
            <w:r w:rsidR="00D84D2B" w:rsidRPr="00986080">
              <w:rPr>
                <w:rStyle w:val="Hyperlink"/>
                <w:i/>
                <w:iCs/>
                <w:noProof/>
              </w:rPr>
              <w:t>Tysabri</w:t>
            </w:r>
            <w:r w:rsidR="00D84D2B">
              <w:rPr>
                <w:noProof/>
                <w:webHidden/>
              </w:rPr>
              <w:tab/>
            </w:r>
            <w:r w:rsidR="00D84D2B">
              <w:rPr>
                <w:noProof/>
                <w:webHidden/>
              </w:rPr>
              <w:fldChar w:fldCharType="begin"/>
            </w:r>
            <w:r w:rsidR="00D84D2B">
              <w:rPr>
                <w:noProof/>
                <w:webHidden/>
              </w:rPr>
              <w:instrText xml:space="preserve"> PAGEREF _Toc104798911 \h </w:instrText>
            </w:r>
            <w:r w:rsidR="00D84D2B">
              <w:rPr>
                <w:noProof/>
                <w:webHidden/>
              </w:rPr>
            </w:r>
            <w:r w:rsidR="00D84D2B">
              <w:rPr>
                <w:noProof/>
                <w:webHidden/>
              </w:rPr>
              <w:fldChar w:fldCharType="separate"/>
            </w:r>
            <w:r w:rsidR="00D84D2B">
              <w:rPr>
                <w:noProof/>
                <w:webHidden/>
              </w:rPr>
              <w:t>22</w:t>
            </w:r>
            <w:r w:rsidR="00D84D2B">
              <w:rPr>
                <w:noProof/>
                <w:webHidden/>
              </w:rPr>
              <w:fldChar w:fldCharType="end"/>
            </w:r>
          </w:hyperlink>
        </w:p>
        <w:p w14:paraId="5AE0F88A" w14:textId="50834E8E" w:rsidR="00D84D2B" w:rsidRDefault="007B3B4E">
          <w:pPr>
            <w:pStyle w:val="TOC2"/>
            <w:tabs>
              <w:tab w:val="right" w:leader="dot" w:pos="9016"/>
            </w:tabs>
            <w:rPr>
              <w:rFonts w:eastAsiaTheme="minorEastAsia"/>
              <w:noProof/>
              <w:lang w:eastAsia="en-GB"/>
            </w:rPr>
          </w:pPr>
          <w:hyperlink w:anchor="_Toc104798912" w:history="1">
            <w:r w:rsidR="00D84D2B" w:rsidRPr="00986080">
              <w:rPr>
                <w:rStyle w:val="Hyperlink"/>
                <w:noProof/>
              </w:rPr>
              <w:t xml:space="preserve">Ocrelizumab: </w:t>
            </w:r>
            <w:r w:rsidR="00D84D2B" w:rsidRPr="00986080">
              <w:rPr>
                <w:rStyle w:val="Hyperlink"/>
                <w:i/>
                <w:iCs/>
                <w:noProof/>
              </w:rPr>
              <w:t>Ocrevus</w:t>
            </w:r>
            <w:r w:rsidR="00D84D2B">
              <w:rPr>
                <w:noProof/>
                <w:webHidden/>
              </w:rPr>
              <w:tab/>
            </w:r>
            <w:r w:rsidR="00D84D2B">
              <w:rPr>
                <w:noProof/>
                <w:webHidden/>
              </w:rPr>
              <w:fldChar w:fldCharType="begin"/>
            </w:r>
            <w:r w:rsidR="00D84D2B">
              <w:rPr>
                <w:noProof/>
                <w:webHidden/>
              </w:rPr>
              <w:instrText xml:space="preserve"> PAGEREF _Toc104798912 \h </w:instrText>
            </w:r>
            <w:r w:rsidR="00D84D2B">
              <w:rPr>
                <w:noProof/>
                <w:webHidden/>
              </w:rPr>
            </w:r>
            <w:r w:rsidR="00D84D2B">
              <w:rPr>
                <w:noProof/>
                <w:webHidden/>
              </w:rPr>
              <w:fldChar w:fldCharType="separate"/>
            </w:r>
            <w:r w:rsidR="00D84D2B">
              <w:rPr>
                <w:noProof/>
                <w:webHidden/>
              </w:rPr>
              <w:t>29</w:t>
            </w:r>
            <w:r w:rsidR="00D84D2B">
              <w:rPr>
                <w:noProof/>
                <w:webHidden/>
              </w:rPr>
              <w:fldChar w:fldCharType="end"/>
            </w:r>
          </w:hyperlink>
        </w:p>
        <w:p w14:paraId="03ABB242" w14:textId="40A3141E" w:rsidR="00D84D2B" w:rsidRDefault="007B3B4E">
          <w:pPr>
            <w:pStyle w:val="TOC2"/>
            <w:tabs>
              <w:tab w:val="right" w:leader="dot" w:pos="9016"/>
            </w:tabs>
            <w:rPr>
              <w:rFonts w:eastAsiaTheme="minorEastAsia"/>
              <w:noProof/>
              <w:lang w:eastAsia="en-GB"/>
            </w:rPr>
          </w:pPr>
          <w:hyperlink w:anchor="_Toc104798913" w:history="1">
            <w:r w:rsidR="00D84D2B" w:rsidRPr="00986080">
              <w:rPr>
                <w:rStyle w:val="Hyperlink"/>
                <w:noProof/>
              </w:rPr>
              <w:t>Rituximab – off-label, several brands exist</w:t>
            </w:r>
            <w:r w:rsidR="00D84D2B">
              <w:rPr>
                <w:noProof/>
                <w:webHidden/>
              </w:rPr>
              <w:tab/>
            </w:r>
            <w:r w:rsidR="00D84D2B">
              <w:rPr>
                <w:noProof/>
                <w:webHidden/>
              </w:rPr>
              <w:fldChar w:fldCharType="begin"/>
            </w:r>
            <w:r w:rsidR="00D84D2B">
              <w:rPr>
                <w:noProof/>
                <w:webHidden/>
              </w:rPr>
              <w:instrText xml:space="preserve"> PAGEREF _Toc104798913 \h </w:instrText>
            </w:r>
            <w:r w:rsidR="00D84D2B">
              <w:rPr>
                <w:noProof/>
                <w:webHidden/>
              </w:rPr>
            </w:r>
            <w:r w:rsidR="00D84D2B">
              <w:rPr>
                <w:noProof/>
                <w:webHidden/>
              </w:rPr>
              <w:fldChar w:fldCharType="separate"/>
            </w:r>
            <w:r w:rsidR="00D84D2B">
              <w:rPr>
                <w:noProof/>
                <w:webHidden/>
              </w:rPr>
              <w:t>30</w:t>
            </w:r>
            <w:r w:rsidR="00D84D2B">
              <w:rPr>
                <w:noProof/>
                <w:webHidden/>
              </w:rPr>
              <w:fldChar w:fldCharType="end"/>
            </w:r>
          </w:hyperlink>
        </w:p>
        <w:p w14:paraId="6CE24592" w14:textId="50D14F81" w:rsidR="00D84D2B" w:rsidRDefault="007B3B4E">
          <w:pPr>
            <w:pStyle w:val="TOC2"/>
            <w:tabs>
              <w:tab w:val="right" w:leader="dot" w:pos="9016"/>
            </w:tabs>
            <w:rPr>
              <w:rFonts w:eastAsiaTheme="minorEastAsia"/>
              <w:noProof/>
              <w:lang w:eastAsia="en-GB"/>
            </w:rPr>
          </w:pPr>
          <w:hyperlink w:anchor="_Toc104798914" w:history="1">
            <w:r w:rsidR="00D84D2B" w:rsidRPr="00986080">
              <w:rPr>
                <w:rStyle w:val="Hyperlink"/>
                <w:noProof/>
              </w:rPr>
              <w:t xml:space="preserve">Siponimod: </w:t>
            </w:r>
            <w:r w:rsidR="00D84D2B" w:rsidRPr="00986080">
              <w:rPr>
                <w:rStyle w:val="Hyperlink"/>
                <w:i/>
                <w:iCs/>
                <w:noProof/>
              </w:rPr>
              <w:t>Mayzent</w:t>
            </w:r>
            <w:r w:rsidR="00D84D2B">
              <w:rPr>
                <w:noProof/>
                <w:webHidden/>
              </w:rPr>
              <w:tab/>
            </w:r>
            <w:r w:rsidR="00D84D2B">
              <w:rPr>
                <w:noProof/>
                <w:webHidden/>
              </w:rPr>
              <w:fldChar w:fldCharType="begin"/>
            </w:r>
            <w:r w:rsidR="00D84D2B">
              <w:rPr>
                <w:noProof/>
                <w:webHidden/>
              </w:rPr>
              <w:instrText xml:space="preserve"> PAGEREF _Toc104798914 \h </w:instrText>
            </w:r>
            <w:r w:rsidR="00D84D2B">
              <w:rPr>
                <w:noProof/>
                <w:webHidden/>
              </w:rPr>
            </w:r>
            <w:r w:rsidR="00D84D2B">
              <w:rPr>
                <w:noProof/>
                <w:webHidden/>
              </w:rPr>
              <w:fldChar w:fldCharType="separate"/>
            </w:r>
            <w:r w:rsidR="00D84D2B">
              <w:rPr>
                <w:noProof/>
                <w:webHidden/>
              </w:rPr>
              <w:t>32</w:t>
            </w:r>
            <w:r w:rsidR="00D84D2B">
              <w:rPr>
                <w:noProof/>
                <w:webHidden/>
              </w:rPr>
              <w:fldChar w:fldCharType="end"/>
            </w:r>
          </w:hyperlink>
        </w:p>
        <w:p w14:paraId="1136662B" w14:textId="3F93E9B3" w:rsidR="008101C0" w:rsidRDefault="001F51DC">
          <w:r>
            <w:rPr>
              <w:b/>
              <w:bCs/>
              <w:noProof/>
            </w:rPr>
            <w:fldChar w:fldCharType="end"/>
          </w:r>
        </w:p>
      </w:sdtContent>
    </w:sdt>
    <w:p w14:paraId="193B621F" w14:textId="77777777" w:rsidR="001F51DC" w:rsidRDefault="001F51DC">
      <w:pPr>
        <w:rPr>
          <w:rFonts w:asciiTheme="majorHAnsi" w:eastAsiaTheme="majorEastAsia" w:hAnsiTheme="majorHAnsi" w:cstheme="majorBidi"/>
          <w:color w:val="2F5496" w:themeColor="accent1" w:themeShade="BF"/>
          <w:sz w:val="32"/>
          <w:szCs w:val="32"/>
        </w:rPr>
      </w:pPr>
      <w:r>
        <w:br w:type="page"/>
      </w:r>
    </w:p>
    <w:p w14:paraId="435D86D4" w14:textId="0B192BCE" w:rsidR="00A0185B" w:rsidRDefault="00A0185B" w:rsidP="000148F2">
      <w:pPr>
        <w:pStyle w:val="Heading1"/>
      </w:pPr>
      <w:bookmarkStart w:id="0" w:name="_Toc104798904"/>
      <w:r w:rsidRPr="00B441AF">
        <w:lastRenderedPageBreak/>
        <w:t>PMS DMT</w:t>
      </w:r>
      <w:r w:rsidR="00B441AF" w:rsidRPr="00B441AF">
        <w:t>s</w:t>
      </w:r>
      <w:bookmarkEnd w:id="0"/>
    </w:p>
    <w:p w14:paraId="056E651C" w14:textId="77777777" w:rsidR="00E45185" w:rsidRDefault="00E45185" w:rsidP="00E45185"/>
    <w:p w14:paraId="3F7E86F9" w14:textId="77298663" w:rsidR="00E45185" w:rsidRDefault="00E45185" w:rsidP="00E45185">
      <w:r w:rsidRPr="00E45185">
        <w:rPr>
          <w:highlight w:val="yellow"/>
        </w:rPr>
        <w:t xml:space="preserve">Article 20 procedures noted for </w:t>
      </w:r>
      <w:r w:rsidRPr="00E45185">
        <w:rPr>
          <w:b/>
          <w:bCs/>
          <w:highlight w:val="yellow"/>
        </w:rPr>
        <w:t>fingolimod</w:t>
      </w:r>
      <w:r w:rsidRPr="00E45185">
        <w:rPr>
          <w:highlight w:val="yellow"/>
        </w:rPr>
        <w:t xml:space="preserve"> and </w:t>
      </w:r>
      <w:r w:rsidRPr="00E45185">
        <w:rPr>
          <w:b/>
          <w:bCs/>
          <w:highlight w:val="yellow"/>
        </w:rPr>
        <w:t>natalizumab</w:t>
      </w:r>
      <w:r w:rsidRPr="00E45185">
        <w:rPr>
          <w:highlight w:val="yellow"/>
        </w:rPr>
        <w:t>.</w:t>
      </w:r>
      <w:r>
        <w:t xml:space="preserve"> </w:t>
      </w:r>
    </w:p>
    <w:p w14:paraId="26846892" w14:textId="0F156C0B" w:rsidR="000234F6" w:rsidRPr="000234F6" w:rsidRDefault="00E45185" w:rsidP="000234F6">
      <w:r>
        <w:t xml:space="preserve">An </w:t>
      </w:r>
      <w:proofErr w:type="gramStart"/>
      <w:r>
        <w:t>Article</w:t>
      </w:r>
      <w:proofErr w:type="gramEnd"/>
      <w:r>
        <w:t xml:space="preserve"> 20 pharmacovigilance procedure should be initiated in case a Member State (MS) or the European Commission (EC), as a result of the evaluation of data relating to pharmacovigilance, considers that at least one of the measures envisaged under title IX (Pharmacovigilance) or XI (Supervision and sanctions) of Directive 2001/83/EC must be applied for centrally authorised medicinal products.</w:t>
      </w:r>
    </w:p>
    <w:p w14:paraId="760A588A" w14:textId="110D77F3" w:rsidR="00A0185B" w:rsidRPr="000A425A" w:rsidRDefault="00A0185B" w:rsidP="000148F2">
      <w:pPr>
        <w:pStyle w:val="Heading2"/>
        <w:rPr>
          <w:color w:val="FF0000"/>
        </w:rPr>
      </w:pPr>
      <w:bookmarkStart w:id="1" w:name="_Toc104798905"/>
      <w:r w:rsidRPr="000A425A">
        <w:rPr>
          <w:color w:val="FF0000"/>
        </w:rPr>
        <w:t>Azathioprine – off-label</w:t>
      </w:r>
      <w:r w:rsidR="00720FD4" w:rsidRPr="000A425A">
        <w:rPr>
          <w:color w:val="FF0000"/>
        </w:rPr>
        <w:t>, several brands exist</w:t>
      </w:r>
      <w:bookmarkEnd w:id="1"/>
    </w:p>
    <w:p w14:paraId="66217EFE" w14:textId="536CB473" w:rsidR="000A425A" w:rsidRDefault="000A425A" w:rsidP="000A425A">
      <w:pPr>
        <w:rPr>
          <w:i/>
          <w:iCs/>
        </w:rPr>
      </w:pPr>
      <w:r>
        <w:rPr>
          <w:i/>
          <w:iCs/>
        </w:rPr>
        <w:t>Imuran</w:t>
      </w:r>
    </w:p>
    <w:p w14:paraId="7C0AA740" w14:textId="7DB5A25B" w:rsidR="000A425A" w:rsidRPr="000A425A" w:rsidRDefault="000A425A" w:rsidP="000A425A">
      <w:r>
        <w:t>No clear information available</w:t>
      </w:r>
      <w:r w:rsidR="004676A1">
        <w:t xml:space="preserve">, potentially </w:t>
      </w:r>
      <w:r>
        <w:t xml:space="preserve">authorized before EMA </w:t>
      </w:r>
      <w:r w:rsidR="004A76BA">
        <w:t>processes</w:t>
      </w:r>
      <w:r w:rsidR="004676A1">
        <w:t xml:space="preserve"> in place. </w:t>
      </w:r>
    </w:p>
    <w:p w14:paraId="05F3AB0F" w14:textId="11041EE2" w:rsidR="00A0185B" w:rsidRDefault="00A0185B" w:rsidP="000148F2">
      <w:pPr>
        <w:pStyle w:val="Heading2"/>
      </w:pPr>
      <w:bookmarkStart w:id="2" w:name="_Toc104798906"/>
      <w:r w:rsidRPr="00B441AF">
        <w:t>Fingolimod</w:t>
      </w:r>
      <w:bookmarkEnd w:id="2"/>
    </w:p>
    <w:p w14:paraId="40830B9C" w14:textId="77777777" w:rsidR="0043435B" w:rsidRDefault="0043435B" w:rsidP="0043435B">
      <w:r>
        <w:t>Communications/press releases:</w:t>
      </w:r>
    </w:p>
    <w:p w14:paraId="7A58ECD8" w14:textId="3639B4DC" w:rsidR="0043435B" w:rsidRDefault="007B3B4E" w:rsidP="00DD5727">
      <w:hyperlink r:id="rId7" w:history="1">
        <w:r w:rsidR="0043435B" w:rsidRPr="002731D6">
          <w:rPr>
            <w:rStyle w:val="Hyperlink"/>
          </w:rPr>
          <w:t>https://www.ema.europa.eu/en/medicines/dhpc/gilenya-fingolimod-updated-recommendations-minimise-risk-drug-induced-liver-injury-dili</w:t>
        </w:r>
      </w:hyperlink>
      <w:r w:rsidR="0043435B">
        <w:t xml:space="preserve"> </w:t>
      </w:r>
    </w:p>
    <w:p w14:paraId="5EDC1F5B" w14:textId="44AB52EC" w:rsidR="0043435B" w:rsidRDefault="007B3B4E" w:rsidP="00DD5727">
      <w:hyperlink r:id="rId8" w:history="1">
        <w:r w:rsidR="0043435B" w:rsidRPr="002731D6">
          <w:rPr>
            <w:rStyle w:val="Hyperlink"/>
          </w:rPr>
          <w:t>https://www.ema.europa.eu/en/news/european-medicines-agency-gives-new-advice-better-manage-risk-adverse-effects-heart-gilenya</w:t>
        </w:r>
      </w:hyperlink>
      <w:r w:rsidR="0043435B">
        <w:t xml:space="preserve"> </w:t>
      </w:r>
    </w:p>
    <w:p w14:paraId="7B98EF4A" w14:textId="651157FF" w:rsidR="0043435B" w:rsidRDefault="007B3B4E" w:rsidP="00DD5727">
      <w:hyperlink r:id="rId9" w:history="1">
        <w:r w:rsidR="0043435B" w:rsidRPr="002731D6">
          <w:rPr>
            <w:rStyle w:val="Hyperlink"/>
          </w:rPr>
          <w:t>https://www.ema.europa.eu/en/news/new-recommendations-minimise-risks-rare-brain-infection-pml-type-skin-cancer-gilenya</w:t>
        </w:r>
      </w:hyperlink>
      <w:r w:rsidR="0043435B">
        <w:t xml:space="preserve"> </w:t>
      </w:r>
    </w:p>
    <w:p w14:paraId="6569D057" w14:textId="5F341036" w:rsidR="0043435B" w:rsidRDefault="007B3B4E" w:rsidP="00DD5727">
      <w:hyperlink r:id="rId10" w:history="1">
        <w:r w:rsidR="0043435B" w:rsidRPr="002731D6">
          <w:rPr>
            <w:rStyle w:val="Hyperlink"/>
          </w:rPr>
          <w:t>https://www.ema.europa.eu/en/news/updated-restrictions-gilenya-multiple-sclerosis-medicine-not-be-used-pregnancy</w:t>
        </w:r>
      </w:hyperlink>
      <w:r w:rsidR="0043435B">
        <w:t xml:space="preserve"> </w:t>
      </w:r>
    </w:p>
    <w:p w14:paraId="6B5EDFCD" w14:textId="2CBE5888" w:rsidR="009D6A10" w:rsidRDefault="009D6A10" w:rsidP="00DD5727">
      <w:r>
        <w:t>--</w:t>
      </w:r>
    </w:p>
    <w:p w14:paraId="61B0D7B9" w14:textId="17E65509" w:rsidR="00DD5727" w:rsidRDefault="00DD5727" w:rsidP="00DD5727">
      <w:r>
        <w:t xml:space="preserve">Since recommendation: </w:t>
      </w:r>
      <w:hyperlink r:id="rId11" w:history="1">
        <w:r w:rsidRPr="002731D6">
          <w:rPr>
            <w:rStyle w:val="Hyperlink"/>
          </w:rPr>
          <w:t>https://www.ema.europa.eu/en/documents/procedural-steps-after/gilenya-epar-procedural-steps-taken-scientific-information-after-authorisation_en.pdf</w:t>
        </w:r>
      </w:hyperlink>
      <w:r>
        <w:t xml:space="preserve"> </w:t>
      </w:r>
    </w:p>
    <w:p w14:paraId="709692EA" w14:textId="07D0B6FA" w:rsidR="00DD5727" w:rsidRDefault="00DD5727" w:rsidP="00DD5727">
      <w:r>
        <w:t xml:space="preserve">There are a number of changes, please refer to link above. </w:t>
      </w:r>
    </w:p>
    <w:p w14:paraId="74D027DF" w14:textId="4CB7329B" w:rsidR="00DD5727" w:rsidRDefault="00DD5727" w:rsidP="00DD5727">
      <w:r>
        <w:t>Of note:</w:t>
      </w:r>
    </w:p>
    <w:p w14:paraId="1CE2FE19" w14:textId="77777777" w:rsidR="002F46EF" w:rsidRDefault="002F46EF" w:rsidP="002F46EF">
      <w:pPr>
        <w:spacing w:after="0"/>
      </w:pPr>
      <w:r w:rsidRPr="00EE2552">
        <w:t>03/09/2019</w:t>
      </w:r>
      <w:r>
        <w:t>: The MAH provided a review of information from the published</w:t>
      </w:r>
    </w:p>
    <w:p w14:paraId="4B3ACD16" w14:textId="77777777" w:rsidR="002F46EF" w:rsidRDefault="002F46EF" w:rsidP="002F46EF">
      <w:pPr>
        <w:spacing w:after="0"/>
      </w:pPr>
      <w:r>
        <w:t>literature (</w:t>
      </w:r>
      <w:proofErr w:type="spellStart"/>
      <w:r>
        <w:t>Vermersch</w:t>
      </w:r>
      <w:proofErr w:type="spellEnd"/>
      <w:r>
        <w:t xml:space="preserve"> et al (2017)), including</w:t>
      </w:r>
    </w:p>
    <w:p w14:paraId="29DAB430" w14:textId="77777777" w:rsidR="002F46EF" w:rsidRDefault="002F46EF" w:rsidP="002F46EF">
      <w:pPr>
        <w:spacing w:after="0"/>
      </w:pPr>
      <w:r>
        <w:t>epidemiological evaluation, the Novartis safety database,</w:t>
      </w:r>
    </w:p>
    <w:p w14:paraId="463F5E31" w14:textId="77777777" w:rsidR="002F46EF" w:rsidRDefault="002F46EF" w:rsidP="002F46EF">
      <w:pPr>
        <w:spacing w:after="0"/>
      </w:pPr>
      <w:r>
        <w:t>and clinical studies (FREEDOMS/FTY720D2301 and</w:t>
      </w:r>
    </w:p>
    <w:p w14:paraId="080D65F4" w14:textId="77777777" w:rsidR="002F46EF" w:rsidRDefault="002F46EF" w:rsidP="002F46EF">
      <w:pPr>
        <w:spacing w:after="0"/>
      </w:pPr>
      <w:r>
        <w:t>FREEDOMS II/FTY720D2309) covering at least 3 months</w:t>
      </w:r>
    </w:p>
    <w:p w14:paraId="050D078D" w14:textId="77777777" w:rsidR="002F46EF" w:rsidRDefault="002F46EF" w:rsidP="002F46EF">
      <w:pPr>
        <w:spacing w:after="0"/>
      </w:pPr>
      <w:r>
        <w:t>after treatment withdrawal to support a labelling update</w:t>
      </w:r>
    </w:p>
    <w:p w14:paraId="5FE771C1" w14:textId="77777777" w:rsidR="002F46EF" w:rsidRDefault="002F46EF" w:rsidP="002F46EF">
      <w:pPr>
        <w:spacing w:after="0"/>
      </w:pPr>
      <w:r>
        <w:t>regarding rebound effect (in sections 4.4, 4.6 and 4.8). This</w:t>
      </w:r>
    </w:p>
    <w:p w14:paraId="4D03E888" w14:textId="77777777" w:rsidR="002F46EF" w:rsidRDefault="002F46EF" w:rsidP="002F46EF">
      <w:pPr>
        <w:spacing w:after="0"/>
      </w:pPr>
      <w:r>
        <w:t>has generally been observed within 12 weeks after stopping</w:t>
      </w:r>
    </w:p>
    <w:p w14:paraId="29FC8711" w14:textId="77777777" w:rsidR="002F46EF" w:rsidRDefault="002F46EF" w:rsidP="002F46EF">
      <w:pPr>
        <w:spacing w:after="0"/>
      </w:pPr>
      <w:r>
        <w:t>fingolimod, but has also been reported up to 24 weeks after</w:t>
      </w:r>
    </w:p>
    <w:p w14:paraId="57D672F6" w14:textId="77777777" w:rsidR="002F46EF" w:rsidRDefault="002F46EF" w:rsidP="002F46EF">
      <w:pPr>
        <w:spacing w:after="0"/>
      </w:pPr>
      <w:r>
        <w:t>fingolimod discontinuation recommending the patient</w:t>
      </w:r>
    </w:p>
    <w:p w14:paraId="590534C3" w14:textId="77777777" w:rsidR="002F46EF" w:rsidRDefault="002F46EF" w:rsidP="002F46EF">
      <w:pPr>
        <w:spacing w:after="0"/>
      </w:pPr>
      <w:r>
        <w:t>monitoring if treatment discontinuation is deemed</w:t>
      </w:r>
    </w:p>
    <w:p w14:paraId="37C5FE2C" w14:textId="77777777" w:rsidR="002F46EF" w:rsidRDefault="002F46EF" w:rsidP="002F46EF">
      <w:pPr>
        <w:spacing w:after="0"/>
      </w:pPr>
      <w:r>
        <w:t>necessary.</w:t>
      </w:r>
    </w:p>
    <w:p w14:paraId="41B4B5F3" w14:textId="77777777" w:rsidR="002F46EF" w:rsidRDefault="002F46EF" w:rsidP="002F46EF">
      <w:pPr>
        <w:spacing w:after="0"/>
      </w:pPr>
      <w:r>
        <w:t>Furthermore, post marketing data was also provided to</w:t>
      </w:r>
    </w:p>
    <w:p w14:paraId="4CB50E8F" w14:textId="77777777" w:rsidR="002F46EF" w:rsidRDefault="002F46EF" w:rsidP="002F46EF">
      <w:pPr>
        <w:spacing w:after="0"/>
      </w:pPr>
      <w:r>
        <w:lastRenderedPageBreak/>
        <w:t>support changes related to the LEG 037 procedure</w:t>
      </w:r>
    </w:p>
    <w:p w14:paraId="58FC5146" w14:textId="77777777" w:rsidR="002F46EF" w:rsidRDefault="002F46EF" w:rsidP="002F46EF">
      <w:pPr>
        <w:spacing w:after="0"/>
      </w:pPr>
      <w:r>
        <w:t>concerning the increased risk of major congenital</w:t>
      </w:r>
    </w:p>
    <w:p w14:paraId="62C6D5A6" w14:textId="77777777" w:rsidR="002F46EF" w:rsidRDefault="002F46EF" w:rsidP="002F46EF">
      <w:pPr>
        <w:spacing w:after="0"/>
      </w:pPr>
      <w:r>
        <w:t xml:space="preserve">malformations and contraindication of </w:t>
      </w:r>
      <w:proofErr w:type="spellStart"/>
      <w:r>
        <w:t>Gilenya</w:t>
      </w:r>
      <w:proofErr w:type="spellEnd"/>
      <w:r>
        <w:t xml:space="preserve"> use in</w:t>
      </w:r>
    </w:p>
    <w:p w14:paraId="00FF3EBD" w14:textId="77777777" w:rsidR="002F46EF" w:rsidRDefault="002F46EF" w:rsidP="002F46EF">
      <w:pPr>
        <w:spacing w:after="0"/>
      </w:pPr>
      <w:r>
        <w:t>pregnant women and women of child-bearing potential, not</w:t>
      </w:r>
    </w:p>
    <w:p w14:paraId="5B168EAF" w14:textId="77777777" w:rsidR="002F46EF" w:rsidRDefault="002F46EF" w:rsidP="002F46EF">
      <w:pPr>
        <w:spacing w:after="0"/>
      </w:pPr>
      <w:r>
        <w:t>using effective contraception regarding its reproductive</w:t>
      </w:r>
    </w:p>
    <w:p w14:paraId="0B6CA7FF" w14:textId="77777777" w:rsidR="002F46EF" w:rsidRDefault="002F46EF" w:rsidP="002F46EF">
      <w:pPr>
        <w:spacing w:after="0"/>
      </w:pPr>
      <w:r>
        <w:t xml:space="preserve">toxicity. As a </w:t>
      </w:r>
      <w:proofErr w:type="gramStart"/>
      <w:r>
        <w:t>result</w:t>
      </w:r>
      <w:proofErr w:type="gramEnd"/>
      <w:r>
        <w:t xml:space="preserve"> SmPC sections 4.3, 4.4 and 4.6 have</w:t>
      </w:r>
    </w:p>
    <w:p w14:paraId="62758719" w14:textId="77777777" w:rsidR="002F46EF" w:rsidRDefault="002F46EF" w:rsidP="002F46EF">
      <w:pPr>
        <w:spacing w:after="0"/>
      </w:pPr>
      <w:r>
        <w:t>been updated to include contraindication regarding pregnant</w:t>
      </w:r>
    </w:p>
    <w:p w14:paraId="51CCC364" w14:textId="77777777" w:rsidR="002F46EF" w:rsidRDefault="002F46EF" w:rsidP="002F46EF">
      <w:pPr>
        <w:spacing w:after="0"/>
      </w:pPr>
      <w:r>
        <w:t>women and WCBP not using effective contraception.</w:t>
      </w:r>
    </w:p>
    <w:p w14:paraId="3770B017" w14:textId="77777777" w:rsidR="002F46EF" w:rsidRDefault="002F46EF" w:rsidP="002F46EF">
      <w:pPr>
        <w:spacing w:after="0"/>
      </w:pPr>
    </w:p>
    <w:p w14:paraId="7920373F" w14:textId="77777777" w:rsidR="002F46EF" w:rsidRDefault="002F46EF" w:rsidP="002F46EF">
      <w:pPr>
        <w:spacing w:after="0"/>
      </w:pPr>
      <w:r>
        <w:t>--</w:t>
      </w:r>
    </w:p>
    <w:p w14:paraId="63F4645F" w14:textId="77777777" w:rsidR="002F46EF" w:rsidRDefault="002F46EF" w:rsidP="002F46EF">
      <w:pPr>
        <w:spacing w:after="0"/>
      </w:pPr>
    </w:p>
    <w:p w14:paraId="31BB6D59" w14:textId="77777777" w:rsidR="002F46EF" w:rsidRDefault="002F46EF" w:rsidP="002F46EF">
      <w:pPr>
        <w:spacing w:after="0"/>
      </w:pPr>
      <w:r w:rsidRPr="00EE2552">
        <w:t>08/12/2017</w:t>
      </w:r>
      <w:r>
        <w:t>: Section 4.4 of the SmPC has been amended to add the</w:t>
      </w:r>
    </w:p>
    <w:p w14:paraId="7E5ECB31" w14:textId="77777777" w:rsidR="002F46EF" w:rsidRDefault="002F46EF" w:rsidP="002F46EF">
      <w:pPr>
        <w:spacing w:after="0"/>
      </w:pPr>
      <w:r>
        <w:t>following detail to the existing warning on cryptococcal</w:t>
      </w:r>
    </w:p>
    <w:p w14:paraId="15A60B2B" w14:textId="77777777" w:rsidR="002F46EF" w:rsidRDefault="002F46EF" w:rsidP="002F46EF">
      <w:pPr>
        <w:spacing w:after="0"/>
      </w:pPr>
      <w:r>
        <w:t>meningitis: “Cases of cryptococcal meningitis (a fungal</w:t>
      </w:r>
    </w:p>
    <w:p w14:paraId="1E07278C" w14:textId="77777777" w:rsidR="002F46EF" w:rsidRDefault="002F46EF" w:rsidP="002F46EF">
      <w:pPr>
        <w:spacing w:after="0"/>
      </w:pPr>
      <w:r>
        <w:t>infection) have been reported in the post-marketing setting</w:t>
      </w:r>
    </w:p>
    <w:p w14:paraId="1384DECF" w14:textId="77777777" w:rsidR="002F46EF" w:rsidRDefault="002F46EF" w:rsidP="002F46EF">
      <w:pPr>
        <w:spacing w:after="0"/>
      </w:pPr>
      <w:r>
        <w:t>after approximately 2 3 years of treatment, although an</w:t>
      </w:r>
    </w:p>
    <w:p w14:paraId="6B646079" w14:textId="77777777" w:rsidR="002F46EF" w:rsidRDefault="002F46EF" w:rsidP="002F46EF">
      <w:pPr>
        <w:spacing w:after="0"/>
      </w:pPr>
      <w:r>
        <w:t>exact relationship with the duration of treatment is</w:t>
      </w:r>
    </w:p>
    <w:p w14:paraId="04D5E16B" w14:textId="77777777" w:rsidR="002F46EF" w:rsidRDefault="002F46EF" w:rsidP="002F46EF">
      <w:pPr>
        <w:spacing w:after="0"/>
      </w:pPr>
      <w:r>
        <w:t>unknown.”</w:t>
      </w:r>
    </w:p>
    <w:p w14:paraId="1C35893C" w14:textId="77777777" w:rsidR="002F46EF" w:rsidRDefault="002F46EF" w:rsidP="002F46EF">
      <w:pPr>
        <w:spacing w:after="0"/>
      </w:pPr>
      <w:r>
        <w:t>In addition, the existing warning on leukoencephalopathy</w:t>
      </w:r>
    </w:p>
    <w:p w14:paraId="4CDE8196" w14:textId="77777777" w:rsidR="002F46EF" w:rsidRDefault="002F46EF" w:rsidP="002F46EF">
      <w:pPr>
        <w:spacing w:after="0"/>
      </w:pPr>
      <w:r>
        <w:t>(PML) has been updated with the following: “Cases of PML</w:t>
      </w:r>
    </w:p>
    <w:p w14:paraId="0F1E3994" w14:textId="77777777" w:rsidR="002F46EF" w:rsidRDefault="002F46EF" w:rsidP="002F46EF">
      <w:pPr>
        <w:spacing w:after="0"/>
      </w:pPr>
      <w:r>
        <w:t>have occurred after approximately 2 3 years of monotherapy</w:t>
      </w:r>
    </w:p>
    <w:p w14:paraId="15938D54" w14:textId="77777777" w:rsidR="002F46EF" w:rsidRDefault="002F46EF" w:rsidP="002F46EF">
      <w:pPr>
        <w:spacing w:after="0"/>
      </w:pPr>
      <w:r>
        <w:t>treatment without previous exposure to natalizumab,</w:t>
      </w:r>
    </w:p>
    <w:p w14:paraId="58A18995" w14:textId="77777777" w:rsidR="002F46EF" w:rsidRDefault="002F46EF" w:rsidP="002F46EF">
      <w:pPr>
        <w:spacing w:after="0"/>
      </w:pPr>
      <w:r>
        <w:t>although an exact relationship with the duration of treatment</w:t>
      </w:r>
    </w:p>
    <w:p w14:paraId="48281090" w14:textId="77777777" w:rsidR="002F46EF" w:rsidRDefault="002F46EF" w:rsidP="002F46EF">
      <w:pPr>
        <w:spacing w:after="0"/>
      </w:pPr>
      <w:r>
        <w:t>is unknown. Additional PML cases have occurred in patients</w:t>
      </w:r>
      <w:r w:rsidRPr="00EE2552">
        <w:t xml:space="preserve"> </w:t>
      </w:r>
      <w:r>
        <w:t>who had been treated previously with natalizumab, which</w:t>
      </w:r>
    </w:p>
    <w:p w14:paraId="441052AF" w14:textId="77777777" w:rsidR="002F46EF" w:rsidRDefault="002F46EF" w:rsidP="002F46EF">
      <w:pPr>
        <w:spacing w:after="0"/>
      </w:pPr>
      <w:r>
        <w:t>has a known association with PML.”</w:t>
      </w:r>
    </w:p>
    <w:p w14:paraId="4140CC68" w14:textId="77777777" w:rsidR="002F46EF" w:rsidRDefault="002F46EF" w:rsidP="002F46EF">
      <w:pPr>
        <w:spacing w:after="0"/>
      </w:pPr>
    </w:p>
    <w:p w14:paraId="6DEE7A89" w14:textId="77777777" w:rsidR="002F46EF" w:rsidRDefault="002F46EF" w:rsidP="002F46EF">
      <w:pPr>
        <w:spacing w:after="0"/>
      </w:pPr>
      <w:r>
        <w:t>--</w:t>
      </w:r>
    </w:p>
    <w:p w14:paraId="70DFC1EB" w14:textId="77777777" w:rsidR="002F46EF" w:rsidRDefault="002F46EF" w:rsidP="002F46EF">
      <w:pPr>
        <w:spacing w:after="0"/>
      </w:pPr>
    </w:p>
    <w:p w14:paraId="531F40CB" w14:textId="77777777" w:rsidR="002F46EF" w:rsidRDefault="002F46EF" w:rsidP="002F46EF">
      <w:pPr>
        <w:spacing w:after="0"/>
      </w:pPr>
      <w:r w:rsidRPr="00E214F3">
        <w:t>25/01/2016</w:t>
      </w:r>
      <w:r>
        <w:t>: Case of Progressive Multifocal Leukoencephalopathy (PML)</w:t>
      </w:r>
    </w:p>
    <w:p w14:paraId="71057F4A" w14:textId="77777777" w:rsidR="002F46EF" w:rsidRDefault="002F46EF" w:rsidP="002F46EF">
      <w:pPr>
        <w:spacing w:after="0"/>
      </w:pPr>
      <w:r>
        <w:t xml:space="preserve">occurring in post marketing patients under </w:t>
      </w:r>
      <w:proofErr w:type="spellStart"/>
      <w:r>
        <w:t>Gilenya</w:t>
      </w:r>
      <w:proofErr w:type="spellEnd"/>
    </w:p>
    <w:p w14:paraId="7AF12806" w14:textId="77777777" w:rsidR="002F46EF" w:rsidRDefault="002F46EF" w:rsidP="002F46EF">
      <w:pPr>
        <w:spacing w:after="0"/>
      </w:pPr>
      <w:r>
        <w:t>treatment. PML typically only occurs in patients who are</w:t>
      </w:r>
    </w:p>
    <w:p w14:paraId="10996EFC" w14:textId="77777777" w:rsidR="002F46EF" w:rsidRDefault="002F46EF" w:rsidP="002F46EF">
      <w:pPr>
        <w:spacing w:after="0"/>
      </w:pPr>
      <w:r>
        <w:t>immunocompromised. Before initiating treatment with</w:t>
      </w:r>
    </w:p>
    <w:p w14:paraId="69437650" w14:textId="77777777" w:rsidR="002F46EF" w:rsidRDefault="002F46EF" w:rsidP="002F46EF">
      <w:pPr>
        <w:spacing w:after="0"/>
      </w:pPr>
      <w:r>
        <w:t>fingolimod, a baseline Magnetic Resonance Imaging (MRI)</w:t>
      </w:r>
    </w:p>
    <w:p w14:paraId="5C1EC0D0" w14:textId="77777777" w:rsidR="002F46EF" w:rsidRDefault="002F46EF" w:rsidP="002F46EF">
      <w:pPr>
        <w:spacing w:after="0"/>
      </w:pPr>
      <w:r>
        <w:t>should be available (usually within 3 months) as a reference.</w:t>
      </w:r>
    </w:p>
    <w:p w14:paraId="22D7DF07" w14:textId="77777777" w:rsidR="002F46EF" w:rsidRDefault="002F46EF" w:rsidP="002F46EF">
      <w:pPr>
        <w:spacing w:after="0"/>
      </w:pPr>
      <w:r>
        <w:t>During routine MRI, physicians should pay attention to PML</w:t>
      </w:r>
    </w:p>
    <w:p w14:paraId="4E93E5DC" w14:textId="77777777" w:rsidR="002F46EF" w:rsidRDefault="002F46EF" w:rsidP="002F46EF">
      <w:pPr>
        <w:spacing w:after="0"/>
      </w:pPr>
      <w:r>
        <w:t>suggestive lesions. In case of PML is suspected, MRI should</w:t>
      </w:r>
    </w:p>
    <w:p w14:paraId="1AE60C5B" w14:textId="77777777" w:rsidR="002F46EF" w:rsidRDefault="002F46EF" w:rsidP="002F46EF">
      <w:pPr>
        <w:spacing w:after="0"/>
      </w:pPr>
      <w:r>
        <w:t>be performed immediately for diagnostic purposes and</w:t>
      </w:r>
    </w:p>
    <w:p w14:paraId="0674B3F6" w14:textId="77777777" w:rsidR="002F46EF" w:rsidRDefault="002F46EF" w:rsidP="002F46EF">
      <w:pPr>
        <w:spacing w:after="0"/>
      </w:pPr>
      <w:r>
        <w:t>treatment with fingolimod should be suspended until PML has</w:t>
      </w:r>
    </w:p>
    <w:p w14:paraId="4628A0FC" w14:textId="77777777" w:rsidR="002F46EF" w:rsidRDefault="002F46EF" w:rsidP="002F46EF">
      <w:pPr>
        <w:spacing w:after="0"/>
      </w:pPr>
      <w:r>
        <w:t>been excluded.</w:t>
      </w:r>
    </w:p>
    <w:p w14:paraId="1FB4BB5D" w14:textId="77777777" w:rsidR="002F46EF" w:rsidRDefault="002F46EF" w:rsidP="002F46EF">
      <w:pPr>
        <w:spacing w:after="0"/>
      </w:pPr>
    </w:p>
    <w:p w14:paraId="7384B420" w14:textId="77777777" w:rsidR="002F46EF" w:rsidRDefault="002F46EF" w:rsidP="002F46EF">
      <w:pPr>
        <w:spacing w:after="0"/>
      </w:pPr>
      <w:r>
        <w:t>--</w:t>
      </w:r>
    </w:p>
    <w:p w14:paraId="44FF2B8E" w14:textId="77777777" w:rsidR="002F46EF" w:rsidRDefault="002F46EF" w:rsidP="002F46EF">
      <w:pPr>
        <w:spacing w:after="0"/>
      </w:pPr>
      <w:r w:rsidRPr="00E214F3">
        <w:t>23/11/2015</w:t>
      </w:r>
      <w:r>
        <w:t>: Based on the review of the available information the CHMP is</w:t>
      </w:r>
    </w:p>
    <w:p w14:paraId="0C36D136" w14:textId="77777777" w:rsidR="002F46EF" w:rsidRDefault="002F46EF" w:rsidP="002F46EF">
      <w:pPr>
        <w:spacing w:after="0"/>
      </w:pPr>
      <w:r>
        <w:t>of the opinion that the quality, the safety and the efficacy of</w:t>
      </w:r>
    </w:p>
    <w:p w14:paraId="2E04CA4D" w14:textId="77777777" w:rsidR="002F46EF" w:rsidRDefault="002F46EF" w:rsidP="002F46EF">
      <w:pPr>
        <w:spacing w:after="0"/>
      </w:pPr>
      <w:r>
        <w:t>this medicinal product continues to be adequately and</w:t>
      </w:r>
    </w:p>
    <w:p w14:paraId="08D1C2F8" w14:textId="77777777" w:rsidR="002F46EF" w:rsidRDefault="002F46EF" w:rsidP="002F46EF">
      <w:pPr>
        <w:spacing w:after="0"/>
      </w:pPr>
      <w:r>
        <w:t>sufficiently demonstrated and therefore considers that the</w:t>
      </w:r>
    </w:p>
    <w:p w14:paraId="72315325" w14:textId="77777777" w:rsidR="002F46EF" w:rsidRDefault="002F46EF" w:rsidP="002F46EF">
      <w:pPr>
        <w:spacing w:after="0"/>
      </w:pPr>
      <w:r>
        <w:t xml:space="preserve">benefit/risk profile of </w:t>
      </w:r>
      <w:proofErr w:type="spellStart"/>
      <w:r>
        <w:t>Gilenya</w:t>
      </w:r>
      <w:proofErr w:type="spellEnd"/>
      <w:r>
        <w:t xml:space="preserve"> continues to be favourable.</w:t>
      </w:r>
    </w:p>
    <w:p w14:paraId="694FB557" w14:textId="77777777" w:rsidR="002F46EF" w:rsidRDefault="002F46EF" w:rsidP="002F46EF">
      <w:pPr>
        <w:spacing w:after="0"/>
      </w:pPr>
      <w:r>
        <w:t>However, since the first launch of the product, the following</w:t>
      </w:r>
    </w:p>
    <w:p w14:paraId="31ECB109" w14:textId="77777777" w:rsidR="002F46EF" w:rsidRDefault="002F46EF" w:rsidP="002F46EF">
      <w:pPr>
        <w:spacing w:after="0"/>
      </w:pPr>
      <w:r>
        <w:lastRenderedPageBreak/>
        <w:t xml:space="preserve">safety issues have been identified with </w:t>
      </w:r>
      <w:proofErr w:type="spellStart"/>
      <w:r>
        <w:t>Gilenya</w:t>
      </w:r>
      <w:proofErr w:type="spellEnd"/>
      <w:r>
        <w:t>:</w:t>
      </w:r>
    </w:p>
    <w:p w14:paraId="6050655C" w14:textId="77777777" w:rsidR="002F46EF" w:rsidRDefault="002F46EF" w:rsidP="002F46EF">
      <w:pPr>
        <w:spacing w:after="0"/>
      </w:pPr>
      <w:r>
        <w:t xml:space="preserve"> bradyarrhythmia, PRES, lymphoma, periodicity of complete</w:t>
      </w:r>
    </w:p>
    <w:p w14:paraId="074D5204" w14:textId="77777777" w:rsidR="002F46EF" w:rsidRDefault="002F46EF" w:rsidP="002F46EF">
      <w:pPr>
        <w:spacing w:after="0"/>
      </w:pPr>
      <w:r>
        <w:t>blood count (CBC), HPS, hypersensitivity following a bullous</w:t>
      </w:r>
    </w:p>
    <w:p w14:paraId="3C5023E4" w14:textId="77777777" w:rsidR="002F46EF" w:rsidRDefault="002F46EF" w:rsidP="002F46EF">
      <w:pPr>
        <w:spacing w:after="0"/>
      </w:pPr>
      <w:r>
        <w:t xml:space="preserve">erythema </w:t>
      </w:r>
      <w:proofErr w:type="gramStart"/>
      <w:r>
        <w:t>multiform ,</w:t>
      </w:r>
      <w:proofErr w:type="gramEnd"/>
      <w:r>
        <w:t xml:space="preserve"> PML, cryptococcal infections,</w:t>
      </w:r>
    </w:p>
    <w:p w14:paraId="697DC3C2" w14:textId="77777777" w:rsidR="002F46EF" w:rsidRDefault="002F46EF" w:rsidP="002F46EF">
      <w:pPr>
        <w:spacing w:after="0"/>
      </w:pPr>
      <w:r>
        <w:t>opportunistic infections, BCC, urticarial, angioedema, Kaposi</w:t>
      </w:r>
    </w:p>
    <w:p w14:paraId="18CBD2D4" w14:textId="77777777" w:rsidR="002F46EF" w:rsidRDefault="002F46EF" w:rsidP="002F46EF">
      <w:pPr>
        <w:spacing w:after="0"/>
      </w:pPr>
      <w:r>
        <w:t xml:space="preserve">sarcoma, </w:t>
      </w:r>
      <w:proofErr w:type="spellStart"/>
      <w:r>
        <w:t>Tumefactive</w:t>
      </w:r>
      <w:proofErr w:type="spellEnd"/>
      <w:r>
        <w:t xml:space="preserve"> relapses, T-wave inversion, peripheral</w:t>
      </w:r>
    </w:p>
    <w:p w14:paraId="5E63D153" w14:textId="77777777" w:rsidR="002F46EF" w:rsidRDefault="002F46EF" w:rsidP="002F46EF">
      <w:pPr>
        <w:spacing w:after="0"/>
      </w:pPr>
      <w:r>
        <w:t>oedema, retinal disorders, RCVS, fatal cases including</w:t>
      </w:r>
    </w:p>
    <w:p w14:paraId="366253D7" w14:textId="77777777" w:rsidR="002F46EF" w:rsidRDefault="002F46EF" w:rsidP="002F46EF">
      <w:pPr>
        <w:spacing w:after="0"/>
      </w:pPr>
      <w:r>
        <w:t>unexplained death and safety concerns after treatment by</w:t>
      </w:r>
    </w:p>
    <w:p w14:paraId="75372E27" w14:textId="77777777" w:rsidR="002F46EF" w:rsidRDefault="002F46EF" w:rsidP="002F46EF">
      <w:pPr>
        <w:spacing w:after="0"/>
      </w:pPr>
      <w:r>
        <w:t>DMTs. These issues have led to updates of the SmPC and</w:t>
      </w:r>
    </w:p>
    <w:p w14:paraId="60F28035" w14:textId="77777777" w:rsidR="002F46EF" w:rsidRDefault="002F46EF" w:rsidP="002F46EF">
      <w:pPr>
        <w:spacing w:after="0"/>
      </w:pPr>
      <w:r>
        <w:t>updates of the Pharmacovigilance Plan. Therefore, based</w:t>
      </w:r>
    </w:p>
    <w:p w14:paraId="522D5CC6" w14:textId="77777777" w:rsidR="002F46EF" w:rsidRDefault="002F46EF" w:rsidP="002F46EF">
      <w:pPr>
        <w:spacing w:after="0"/>
      </w:pPr>
      <w:r>
        <w:t xml:space="preserve">upon the safety profile of </w:t>
      </w:r>
      <w:proofErr w:type="spellStart"/>
      <w:r>
        <w:t>Gilenya</w:t>
      </w:r>
      <w:proofErr w:type="spellEnd"/>
      <w:r>
        <w:t>, which requires the</w:t>
      </w:r>
    </w:p>
    <w:p w14:paraId="314D0ADF" w14:textId="77777777" w:rsidR="002F46EF" w:rsidRDefault="002F46EF" w:rsidP="002F46EF">
      <w:pPr>
        <w:spacing w:after="0"/>
      </w:pPr>
      <w:r>
        <w:t>submission of yearly PSURs, the CHMP was of the opinion</w:t>
      </w:r>
    </w:p>
    <w:p w14:paraId="73A6D8E9" w14:textId="77777777" w:rsidR="002F46EF" w:rsidRDefault="002F46EF" w:rsidP="002F46EF">
      <w:pPr>
        <w:spacing w:after="0"/>
      </w:pPr>
      <w:r>
        <w:t>that an additional five-year renewal on the basis of</w:t>
      </w:r>
    </w:p>
    <w:p w14:paraId="62DC62EC" w14:textId="77777777" w:rsidR="002F46EF" w:rsidRDefault="002F46EF" w:rsidP="002F46EF">
      <w:pPr>
        <w:spacing w:after="0"/>
      </w:pPr>
      <w:r>
        <w:t xml:space="preserve">pharmacovigilance grounds </w:t>
      </w:r>
      <w:proofErr w:type="gramStart"/>
      <w:r>
        <w:t>was</w:t>
      </w:r>
      <w:proofErr w:type="gramEnd"/>
      <w:r>
        <w:t xml:space="preserve"> required.</w:t>
      </w:r>
    </w:p>
    <w:p w14:paraId="3BCBD060" w14:textId="77777777" w:rsidR="002F46EF" w:rsidRDefault="002F46EF" w:rsidP="002F46EF">
      <w:pPr>
        <w:spacing w:after="0"/>
      </w:pPr>
    </w:p>
    <w:p w14:paraId="1505C825" w14:textId="77777777" w:rsidR="002F46EF" w:rsidRDefault="002F46EF" w:rsidP="002F46EF">
      <w:pPr>
        <w:spacing w:after="0"/>
      </w:pPr>
      <w:r>
        <w:t>--</w:t>
      </w:r>
    </w:p>
    <w:p w14:paraId="19DC020B" w14:textId="77777777" w:rsidR="002F46EF" w:rsidRDefault="002F46EF" w:rsidP="002F46EF">
      <w:pPr>
        <w:spacing w:after="0"/>
      </w:pPr>
    </w:p>
    <w:p w14:paraId="2847283B" w14:textId="77777777" w:rsidR="002F46EF" w:rsidRDefault="002F46EF" w:rsidP="002F46EF">
      <w:pPr>
        <w:spacing w:after="0"/>
      </w:pPr>
      <w:r w:rsidRPr="00E214F3">
        <w:t>03/07/201</w:t>
      </w:r>
      <w:r>
        <w:t>5: Isolated cases of cryptococcal meningitis (a fungal infection)</w:t>
      </w:r>
    </w:p>
    <w:p w14:paraId="4CDF16CE" w14:textId="77777777" w:rsidR="002F46EF" w:rsidRDefault="002F46EF" w:rsidP="002F46EF">
      <w:pPr>
        <w:spacing w:after="0"/>
      </w:pPr>
      <w:r>
        <w:t>have been reported in the post-marketing setting. Patients</w:t>
      </w:r>
    </w:p>
    <w:p w14:paraId="257ABF98" w14:textId="77777777" w:rsidR="002F46EF" w:rsidRDefault="002F46EF" w:rsidP="002F46EF">
      <w:pPr>
        <w:spacing w:after="0"/>
      </w:pPr>
      <w:r>
        <w:t>with symptoms and signs consistent with cryptococcal</w:t>
      </w:r>
    </w:p>
    <w:p w14:paraId="7114ED21" w14:textId="77777777" w:rsidR="002F46EF" w:rsidRDefault="002F46EF" w:rsidP="002F46EF">
      <w:pPr>
        <w:spacing w:after="0"/>
      </w:pPr>
      <w:r>
        <w:t>meningitis (</w:t>
      </w:r>
      <w:proofErr w:type="gramStart"/>
      <w:r>
        <w:t>e.g.</w:t>
      </w:r>
      <w:proofErr w:type="gramEnd"/>
      <w:r>
        <w:t xml:space="preserve"> headache accompanied by mental changes</w:t>
      </w:r>
    </w:p>
    <w:p w14:paraId="4AD9ECB2" w14:textId="77777777" w:rsidR="002F46EF" w:rsidRDefault="002F46EF" w:rsidP="002F46EF">
      <w:pPr>
        <w:spacing w:after="0"/>
      </w:pPr>
      <w:r>
        <w:t>such as confusion, hallucinations, and/or personality</w:t>
      </w:r>
    </w:p>
    <w:p w14:paraId="255A3D1C" w14:textId="77777777" w:rsidR="002F46EF" w:rsidRDefault="002F46EF" w:rsidP="002F46EF">
      <w:pPr>
        <w:spacing w:after="0"/>
      </w:pPr>
      <w:r>
        <w:t>changes) should undergo prompt diagnostic evaluation. If</w:t>
      </w:r>
    </w:p>
    <w:p w14:paraId="11E729DA" w14:textId="77777777" w:rsidR="002F46EF" w:rsidRDefault="002F46EF" w:rsidP="002F46EF">
      <w:pPr>
        <w:spacing w:after="0"/>
      </w:pPr>
      <w:r>
        <w:t>cryptococcal meningitis is diagnosed, fingolimod should be</w:t>
      </w:r>
    </w:p>
    <w:p w14:paraId="6C3D3907" w14:textId="77777777" w:rsidR="002F46EF" w:rsidRDefault="002F46EF" w:rsidP="002F46EF">
      <w:pPr>
        <w:spacing w:after="0"/>
      </w:pPr>
      <w:r>
        <w:t>suspended and appropriate treatment should be initiated. A</w:t>
      </w:r>
    </w:p>
    <w:p w14:paraId="03C1C186" w14:textId="77777777" w:rsidR="002F46EF" w:rsidRDefault="002F46EF" w:rsidP="002F46EF">
      <w:pPr>
        <w:spacing w:after="0"/>
      </w:pPr>
      <w:r>
        <w:t>multidisciplinary consultation (</w:t>
      </w:r>
      <w:proofErr w:type="gramStart"/>
      <w:r>
        <w:t>i.e.</w:t>
      </w:r>
      <w:proofErr w:type="gramEnd"/>
      <w:r>
        <w:t xml:space="preserve"> infectious disease</w:t>
      </w:r>
    </w:p>
    <w:p w14:paraId="3B29EE72" w14:textId="77777777" w:rsidR="002F46EF" w:rsidRDefault="002F46EF" w:rsidP="002F46EF">
      <w:pPr>
        <w:spacing w:after="0"/>
      </w:pPr>
      <w:r>
        <w:t>specialist) should be undertaken if re-initiation of fingolimod</w:t>
      </w:r>
    </w:p>
    <w:p w14:paraId="52AD712A" w14:textId="77777777" w:rsidR="002F46EF" w:rsidRDefault="002F46EF" w:rsidP="002F46EF">
      <w:pPr>
        <w:spacing w:after="0"/>
      </w:pPr>
      <w:r>
        <w:t>is warranted-</w:t>
      </w:r>
    </w:p>
    <w:p w14:paraId="62DB4BB8" w14:textId="77777777" w:rsidR="002F46EF" w:rsidRDefault="002F46EF" w:rsidP="002F46EF">
      <w:pPr>
        <w:spacing w:after="0"/>
      </w:pPr>
    </w:p>
    <w:p w14:paraId="11F4CE87" w14:textId="77777777" w:rsidR="002F46EF" w:rsidRDefault="002F46EF" w:rsidP="002F46EF">
      <w:pPr>
        <w:spacing w:after="0"/>
      </w:pPr>
      <w:r>
        <w:t>--</w:t>
      </w:r>
    </w:p>
    <w:p w14:paraId="77A3CE1B" w14:textId="77777777" w:rsidR="002F46EF" w:rsidRDefault="002F46EF" w:rsidP="002F46EF">
      <w:pPr>
        <w:spacing w:after="0"/>
      </w:pPr>
    </w:p>
    <w:p w14:paraId="6226E36F" w14:textId="77777777" w:rsidR="002F46EF" w:rsidRDefault="002F46EF" w:rsidP="002F46EF">
      <w:pPr>
        <w:spacing w:after="0"/>
      </w:pPr>
      <w:r w:rsidRPr="00E214F3">
        <w:t>23/05/2014</w:t>
      </w:r>
      <w:r>
        <w:t>: After review of the latest MAH safety analyses, the CHMP</w:t>
      </w:r>
    </w:p>
    <w:p w14:paraId="08EFFC75" w14:textId="77777777" w:rsidR="002F46EF" w:rsidRDefault="002F46EF" w:rsidP="002F46EF">
      <w:pPr>
        <w:spacing w:after="0"/>
      </w:pPr>
      <w:r>
        <w:t>recommended the following main safety changes:</w:t>
      </w:r>
    </w:p>
    <w:p w14:paraId="79B4D3E4" w14:textId="77777777" w:rsidR="002F46EF" w:rsidRDefault="002F46EF" w:rsidP="002F46EF">
      <w:pPr>
        <w:spacing w:after="0"/>
      </w:pPr>
      <w:r>
        <w:t>- Neutropenia was replaced by cytopenia regarding the signs</w:t>
      </w:r>
    </w:p>
    <w:p w14:paraId="2931C54B" w14:textId="77777777" w:rsidR="002F46EF" w:rsidRDefault="002F46EF" w:rsidP="002F46EF">
      <w:pPr>
        <w:spacing w:after="0"/>
      </w:pPr>
      <w:r>
        <w:t>of relevant treatment related abnormalities when switching</w:t>
      </w:r>
    </w:p>
    <w:p w14:paraId="756AA4A3" w14:textId="77777777" w:rsidR="002F46EF" w:rsidRDefault="002F46EF" w:rsidP="002F46EF">
      <w:pPr>
        <w:spacing w:after="0"/>
      </w:pPr>
      <w:r>
        <w:t xml:space="preserve">directly therapy to </w:t>
      </w:r>
      <w:proofErr w:type="spellStart"/>
      <w:r>
        <w:t>Gilenya</w:t>
      </w:r>
      <w:proofErr w:type="spellEnd"/>
      <w:r>
        <w:t>.</w:t>
      </w:r>
    </w:p>
    <w:p w14:paraId="173AEB9E" w14:textId="77777777" w:rsidR="002F46EF" w:rsidRDefault="002F46EF" w:rsidP="002F46EF">
      <w:pPr>
        <w:spacing w:after="0"/>
      </w:pPr>
      <w:r>
        <w:t>- Some ADRs were grouped (hepatic enzymes increases) and</w:t>
      </w:r>
    </w:p>
    <w:p w14:paraId="4A6DBD2D" w14:textId="77777777" w:rsidR="002F46EF" w:rsidRDefault="002F46EF" w:rsidP="002F46EF">
      <w:pPr>
        <w:spacing w:after="0"/>
      </w:pPr>
      <w:r>
        <w:t>some frequencies were updated: hepatic enzyme increases,</w:t>
      </w:r>
    </w:p>
    <w:p w14:paraId="6EFF4AB3" w14:textId="77777777" w:rsidR="002F46EF" w:rsidRDefault="002F46EF" w:rsidP="002F46EF">
      <w:pPr>
        <w:spacing w:after="0"/>
      </w:pPr>
      <w:r>
        <w:t>sinusitis, macular oedema, atrioventricular blocks and</w:t>
      </w:r>
    </w:p>
    <w:p w14:paraId="52E1AFAF" w14:textId="77777777" w:rsidR="002F46EF" w:rsidRDefault="002F46EF" w:rsidP="002F46EF">
      <w:pPr>
        <w:spacing w:after="0"/>
      </w:pPr>
      <w:r>
        <w:t>reduction in values for forced expiratory volume. This</w:t>
      </w:r>
    </w:p>
    <w:p w14:paraId="371DB3C0" w14:textId="77777777" w:rsidR="002F46EF" w:rsidRDefault="002F46EF" w:rsidP="002F46EF">
      <w:pPr>
        <w:spacing w:after="0"/>
      </w:pPr>
      <w:r>
        <w:t>resulted in changes from common to very common adverse</w:t>
      </w:r>
    </w:p>
    <w:p w14:paraId="0985AB2A" w14:textId="77777777" w:rsidR="002F46EF" w:rsidRDefault="002F46EF" w:rsidP="002F46EF">
      <w:pPr>
        <w:spacing w:after="0"/>
      </w:pPr>
      <w:r>
        <w:t>reactions (ADRs) for hepatic enzyme increases and sinusitis.</w:t>
      </w:r>
    </w:p>
    <w:p w14:paraId="680418A3" w14:textId="77777777" w:rsidR="002F46EF" w:rsidRDefault="002F46EF" w:rsidP="002F46EF">
      <w:pPr>
        <w:spacing w:after="0"/>
      </w:pPr>
      <w:r>
        <w:t>- The overall rate of infections was updated. Herpes infection</w:t>
      </w:r>
    </w:p>
    <w:p w14:paraId="00320FC4" w14:textId="77777777" w:rsidR="002F46EF" w:rsidRDefault="002F46EF" w:rsidP="002F46EF">
      <w:pPr>
        <w:spacing w:after="0"/>
      </w:pPr>
      <w:r>
        <w:t>was added as a more common lower respiratory tract</w:t>
      </w:r>
    </w:p>
    <w:p w14:paraId="1B9390EC" w14:textId="77777777" w:rsidR="002F46EF" w:rsidRDefault="002F46EF" w:rsidP="002F46EF">
      <w:pPr>
        <w:spacing w:after="0"/>
      </w:pPr>
      <w:r>
        <w:t xml:space="preserve">infection seen in </w:t>
      </w:r>
      <w:proofErr w:type="spellStart"/>
      <w:r>
        <w:t>Gilenya</w:t>
      </w:r>
      <w:proofErr w:type="spellEnd"/>
      <w:r>
        <w:t xml:space="preserve"> treated patients but observed at a</w:t>
      </w:r>
    </w:p>
    <w:p w14:paraId="072B627D" w14:textId="77777777" w:rsidR="002F46EF" w:rsidRDefault="002F46EF" w:rsidP="002F46EF">
      <w:pPr>
        <w:spacing w:after="0"/>
      </w:pPr>
      <w:r>
        <w:t>lesser extent than bronchitis. The terms “influenza viral</w:t>
      </w:r>
    </w:p>
    <w:p w14:paraId="266E127B" w14:textId="77777777" w:rsidR="002F46EF" w:rsidRDefault="002F46EF" w:rsidP="002F46EF">
      <w:pPr>
        <w:spacing w:after="0"/>
      </w:pPr>
      <w:r>
        <w:t>infection” and “tinea infections” were replaced by “influenza”</w:t>
      </w:r>
    </w:p>
    <w:p w14:paraId="67C7AD95" w14:textId="77777777" w:rsidR="002F46EF" w:rsidRDefault="002F46EF" w:rsidP="002F46EF">
      <w:pPr>
        <w:spacing w:after="0"/>
      </w:pPr>
      <w:r>
        <w:t>and “tinea versicolor”, respectively, as considered as a more</w:t>
      </w:r>
    </w:p>
    <w:p w14:paraId="725B101B" w14:textId="77777777" w:rsidR="002F46EF" w:rsidRDefault="002F46EF" w:rsidP="002F46EF">
      <w:pPr>
        <w:spacing w:after="0"/>
      </w:pPr>
      <w:r>
        <w:lastRenderedPageBreak/>
        <w:t>accurate description of these ADRs.</w:t>
      </w:r>
    </w:p>
    <w:p w14:paraId="2A85D9FD" w14:textId="77777777" w:rsidR="002F46EF" w:rsidRDefault="002F46EF" w:rsidP="002F46EF">
      <w:pPr>
        <w:spacing w:after="0"/>
      </w:pPr>
      <w:r>
        <w:t>- The following ADRs were deleted: gastroenteritis,</w:t>
      </w:r>
    </w:p>
    <w:p w14:paraId="6C089440" w14:textId="77777777" w:rsidR="002F46EF" w:rsidRDefault="002F46EF" w:rsidP="002F46EF">
      <w:pPr>
        <w:spacing w:after="0"/>
      </w:pPr>
      <w:r>
        <w:t>paraesthesia, eye pain and weight decreased.</w:t>
      </w:r>
    </w:p>
    <w:p w14:paraId="202C572F" w14:textId="77777777" w:rsidR="002F46EF" w:rsidRDefault="002F46EF" w:rsidP="002F46EF">
      <w:pPr>
        <w:spacing w:after="0"/>
      </w:pPr>
      <w:r>
        <w:t>- PRES was included as a warning with physicians advised to</w:t>
      </w:r>
    </w:p>
    <w:p w14:paraId="60196A55" w14:textId="77777777" w:rsidR="002F46EF" w:rsidRDefault="002F46EF" w:rsidP="002F46EF">
      <w:pPr>
        <w:spacing w:after="0"/>
      </w:pPr>
      <w:r>
        <w:t xml:space="preserve">stop </w:t>
      </w:r>
      <w:proofErr w:type="spellStart"/>
      <w:r>
        <w:t>Gilenya</w:t>
      </w:r>
      <w:proofErr w:type="spellEnd"/>
      <w:r>
        <w:t xml:space="preserve"> treatment if PRES is suspected.</w:t>
      </w:r>
    </w:p>
    <w:p w14:paraId="4A112AED" w14:textId="77777777" w:rsidR="002F46EF" w:rsidRDefault="002F46EF" w:rsidP="002F46EF">
      <w:pPr>
        <w:spacing w:after="0"/>
      </w:pPr>
      <w:r>
        <w:t>- The existing warnings to ascertain appropriate assessment</w:t>
      </w:r>
    </w:p>
    <w:p w14:paraId="0FA89D18" w14:textId="77777777" w:rsidR="002F46EF" w:rsidRDefault="002F46EF" w:rsidP="002F46EF">
      <w:pPr>
        <w:spacing w:after="0"/>
      </w:pPr>
      <w:r>
        <w:t>of patient immunity to VZV prior to treatment and on the</w:t>
      </w:r>
    </w:p>
    <w:p w14:paraId="529F50C6" w14:textId="77777777" w:rsidR="002F46EF" w:rsidRDefault="002F46EF" w:rsidP="002F46EF">
      <w:pPr>
        <w:spacing w:after="0"/>
      </w:pPr>
      <w:r>
        <w:t xml:space="preserve">concomitant use of corticosteroids </w:t>
      </w:r>
      <w:proofErr w:type="gramStart"/>
      <w:r>
        <w:t>were</w:t>
      </w:r>
      <w:proofErr w:type="gramEnd"/>
      <w:r>
        <w:t xml:space="preserve"> strengthened</w:t>
      </w:r>
    </w:p>
    <w:p w14:paraId="44EA9877" w14:textId="77777777" w:rsidR="002F46EF" w:rsidRDefault="002F46EF" w:rsidP="002F46EF">
      <w:pPr>
        <w:spacing w:after="0"/>
      </w:pPr>
    </w:p>
    <w:p w14:paraId="76E7F394" w14:textId="77777777" w:rsidR="002F46EF" w:rsidRDefault="002F46EF" w:rsidP="002F46EF">
      <w:pPr>
        <w:spacing w:after="0"/>
      </w:pPr>
      <w:r w:rsidRPr="00FF26A0">
        <w:t>25/11/201</w:t>
      </w:r>
      <w:r>
        <w:t>3: Following a safety signal regarding the occurrence of 2 fatal</w:t>
      </w:r>
    </w:p>
    <w:p w14:paraId="3B78799D" w14:textId="77777777" w:rsidR="002F46EF" w:rsidRDefault="002F46EF" w:rsidP="002F46EF">
      <w:pPr>
        <w:spacing w:after="0"/>
      </w:pPr>
      <w:r>
        <w:t xml:space="preserve">cases of </w:t>
      </w:r>
      <w:proofErr w:type="spellStart"/>
      <w:r>
        <w:t>haemophagocytic</w:t>
      </w:r>
      <w:proofErr w:type="spellEnd"/>
      <w:r>
        <w:t xml:space="preserve"> syndrome with fingolimod, the</w:t>
      </w:r>
    </w:p>
    <w:p w14:paraId="17DE57D3" w14:textId="77777777" w:rsidR="002F46EF" w:rsidRDefault="002F46EF" w:rsidP="002F46EF">
      <w:pPr>
        <w:spacing w:after="0"/>
      </w:pPr>
      <w:r>
        <w:t>PRAC/CHMP recommended an update of section 4.8 of the</w:t>
      </w:r>
    </w:p>
    <w:p w14:paraId="47DC00AF" w14:textId="77777777" w:rsidR="002F46EF" w:rsidRDefault="002F46EF" w:rsidP="002F46EF">
      <w:pPr>
        <w:spacing w:after="0"/>
      </w:pPr>
      <w:r>
        <w:t>SmPC to reflect this information as well as to issue a Direct</w:t>
      </w:r>
    </w:p>
    <w:p w14:paraId="5E131AE8" w14:textId="77777777" w:rsidR="002F46EF" w:rsidRDefault="002F46EF" w:rsidP="002F46EF">
      <w:pPr>
        <w:spacing w:after="0"/>
      </w:pPr>
      <w:r>
        <w:t>Healthcare Professional Communication (DHPC) with the aim</w:t>
      </w:r>
    </w:p>
    <w:p w14:paraId="1DFC0E40" w14:textId="77777777" w:rsidR="002F46EF" w:rsidRDefault="002F46EF" w:rsidP="002F46EF">
      <w:pPr>
        <w:spacing w:after="0"/>
      </w:pPr>
      <w:r>
        <w:t>of raising awareness on this risk and communicate about the</w:t>
      </w:r>
    </w:p>
    <w:p w14:paraId="69BB6A2A" w14:textId="77777777" w:rsidR="002F46EF" w:rsidRDefault="002F46EF" w:rsidP="002F46EF">
      <w:pPr>
        <w:spacing w:after="0"/>
      </w:pPr>
      <w:r>
        <w:t>difficulties of diagnosing HPS and the risk of a worse outcome</w:t>
      </w:r>
    </w:p>
    <w:p w14:paraId="55E4C0F2" w14:textId="77777777" w:rsidR="002F46EF" w:rsidRDefault="002F46EF" w:rsidP="002F46EF">
      <w:pPr>
        <w:spacing w:after="0"/>
      </w:pPr>
      <w:r>
        <w:t>when the diagnosis is delayed. Section 4.8 was updated as</w:t>
      </w:r>
    </w:p>
    <w:p w14:paraId="43CAEF23" w14:textId="77777777" w:rsidR="002F46EF" w:rsidRDefault="002F46EF" w:rsidP="002F46EF">
      <w:pPr>
        <w:spacing w:after="0"/>
      </w:pPr>
      <w:r>
        <w:t>follows:</w:t>
      </w:r>
    </w:p>
    <w:p w14:paraId="5B44E8C8" w14:textId="77777777" w:rsidR="002F46EF" w:rsidRDefault="002F46EF" w:rsidP="002F46EF">
      <w:pPr>
        <w:spacing w:after="0"/>
      </w:pPr>
      <w:r>
        <w:t xml:space="preserve">- Very rare cases of </w:t>
      </w:r>
      <w:proofErr w:type="spellStart"/>
      <w:r>
        <w:t>haemophagocytic</w:t>
      </w:r>
      <w:proofErr w:type="spellEnd"/>
      <w:r>
        <w:t xml:space="preserve"> syndrome (HPS) with</w:t>
      </w:r>
    </w:p>
    <w:p w14:paraId="7DA31D0A" w14:textId="77777777" w:rsidR="002F46EF" w:rsidRDefault="002F46EF" w:rsidP="002F46EF">
      <w:pPr>
        <w:spacing w:after="0"/>
      </w:pPr>
      <w:r>
        <w:t xml:space="preserve">fatal outcome </w:t>
      </w:r>
      <w:proofErr w:type="gramStart"/>
      <w:r>
        <w:t>have</w:t>
      </w:r>
      <w:proofErr w:type="gramEnd"/>
      <w:r>
        <w:t xml:space="preserve"> been reported in patients treated with</w:t>
      </w:r>
    </w:p>
    <w:p w14:paraId="759E0769" w14:textId="77777777" w:rsidR="002F46EF" w:rsidRDefault="002F46EF" w:rsidP="002F46EF">
      <w:pPr>
        <w:spacing w:after="0"/>
      </w:pPr>
      <w:r>
        <w:t>fingolimod in the context of an infection. HPS is a rare</w:t>
      </w:r>
    </w:p>
    <w:p w14:paraId="4A8F2DDF" w14:textId="77777777" w:rsidR="002F46EF" w:rsidRDefault="002F46EF" w:rsidP="002F46EF">
      <w:pPr>
        <w:spacing w:after="0"/>
      </w:pPr>
      <w:r>
        <w:t>condition that has been described in association with</w:t>
      </w:r>
    </w:p>
    <w:p w14:paraId="71DF9F0C" w14:textId="77777777" w:rsidR="002F46EF" w:rsidRDefault="002F46EF" w:rsidP="002F46EF">
      <w:pPr>
        <w:spacing w:after="0"/>
      </w:pPr>
      <w:r>
        <w:t xml:space="preserve">infections, </w:t>
      </w:r>
      <w:proofErr w:type="spellStart"/>
      <w:r>
        <w:t>immunosupression</w:t>
      </w:r>
      <w:proofErr w:type="spellEnd"/>
      <w:r>
        <w:t xml:space="preserve"> and a variety of autoimmune</w:t>
      </w:r>
    </w:p>
    <w:p w14:paraId="2AE583CD" w14:textId="77777777" w:rsidR="002F46EF" w:rsidRDefault="002F46EF" w:rsidP="002F46EF">
      <w:pPr>
        <w:spacing w:after="0"/>
      </w:pPr>
      <w:r>
        <w:t>diseases.</w:t>
      </w:r>
    </w:p>
    <w:p w14:paraId="41FE0D70" w14:textId="77777777" w:rsidR="002F46EF" w:rsidRDefault="002F46EF" w:rsidP="002F46EF">
      <w:pPr>
        <w:spacing w:after="0"/>
      </w:pPr>
      <w:r>
        <w:t>--</w:t>
      </w:r>
    </w:p>
    <w:p w14:paraId="4A5663D8" w14:textId="77777777" w:rsidR="002F46EF" w:rsidRDefault="002F46EF" w:rsidP="002F46EF">
      <w:pPr>
        <w:spacing w:after="0"/>
      </w:pPr>
      <w:r w:rsidRPr="00FF26A0">
        <w:t>25/11/2013</w:t>
      </w:r>
      <w:r>
        <w:t xml:space="preserve">: Following their assessment of PSUR 1 for </w:t>
      </w:r>
      <w:proofErr w:type="spellStart"/>
      <w:r>
        <w:t>Gilenya</w:t>
      </w:r>
      <w:proofErr w:type="spellEnd"/>
      <w:r>
        <w:t>, the CHMP</w:t>
      </w:r>
    </w:p>
    <w:p w14:paraId="6F412D5B" w14:textId="77777777" w:rsidR="002F46EF" w:rsidRDefault="002F46EF" w:rsidP="002F46EF">
      <w:pPr>
        <w:spacing w:after="0"/>
      </w:pPr>
      <w:r>
        <w:t>requested the MAH to review all serious cases reporting</w:t>
      </w:r>
    </w:p>
    <w:p w14:paraId="3275FEBC" w14:textId="77777777" w:rsidR="002F46EF" w:rsidRDefault="002F46EF" w:rsidP="002F46EF">
      <w:pPr>
        <w:spacing w:after="0"/>
      </w:pPr>
      <w:proofErr w:type="spellStart"/>
      <w:r>
        <w:t>leucopenia</w:t>
      </w:r>
      <w:proofErr w:type="spellEnd"/>
      <w:r>
        <w:t xml:space="preserve"> and lymphopenia with at least important</w:t>
      </w:r>
    </w:p>
    <w:p w14:paraId="73BA43BE" w14:textId="77777777" w:rsidR="002F46EF" w:rsidRDefault="002F46EF" w:rsidP="002F46EF">
      <w:pPr>
        <w:spacing w:after="0"/>
      </w:pPr>
      <w:r>
        <w:t>information such as time to onset and outcomes. Incidence</w:t>
      </w:r>
    </w:p>
    <w:p w14:paraId="4BC5BADF" w14:textId="77777777" w:rsidR="002F46EF" w:rsidRDefault="002F46EF" w:rsidP="002F46EF">
      <w:pPr>
        <w:spacing w:after="0"/>
      </w:pPr>
      <w:r>
        <w:t>of infections in clinical trials was found greater in groups of</w:t>
      </w:r>
    </w:p>
    <w:p w14:paraId="7B9ED7BF" w14:textId="77777777" w:rsidR="002F46EF" w:rsidRDefault="002F46EF" w:rsidP="002F46EF">
      <w:pPr>
        <w:spacing w:after="0"/>
      </w:pPr>
      <w:r>
        <w:t>patients with a nadir lymphocyte count &lt;0.2x109/L than in</w:t>
      </w:r>
    </w:p>
    <w:p w14:paraId="17C7B951" w14:textId="77777777" w:rsidR="002F46EF" w:rsidRDefault="002F46EF" w:rsidP="002F46EF">
      <w:pPr>
        <w:spacing w:after="0"/>
      </w:pPr>
      <w:r>
        <w:t>group 0.2-0.4x109/L and &gt;0.4x109/L. In post-marketing,</w:t>
      </w:r>
    </w:p>
    <w:p w14:paraId="641D26E0" w14:textId="77777777" w:rsidR="002F46EF" w:rsidRDefault="002F46EF" w:rsidP="002F46EF">
      <w:pPr>
        <w:spacing w:after="0"/>
      </w:pPr>
      <w:r>
        <w:t>the lymphocytes counts were unknown for a significant</w:t>
      </w:r>
    </w:p>
    <w:p w14:paraId="4D694008" w14:textId="77777777" w:rsidR="002F46EF" w:rsidRDefault="002F46EF" w:rsidP="002F46EF">
      <w:pPr>
        <w:spacing w:after="0"/>
      </w:pPr>
      <w:r>
        <w:t>number of cases so a correlation between infections and</w:t>
      </w:r>
    </w:p>
    <w:p w14:paraId="59CA58E2" w14:textId="77777777" w:rsidR="002F46EF" w:rsidRDefault="002F46EF" w:rsidP="002F46EF">
      <w:pPr>
        <w:spacing w:after="0"/>
      </w:pPr>
      <w:r>
        <w:t>lymphocyte count could not be excluded. Subsequently to</w:t>
      </w:r>
    </w:p>
    <w:p w14:paraId="42C0B81C" w14:textId="77777777" w:rsidR="002F46EF" w:rsidRDefault="002F46EF" w:rsidP="002F46EF">
      <w:pPr>
        <w:spacing w:after="0"/>
      </w:pPr>
      <w:r>
        <w:t>these findings and taking also into account the data from last</w:t>
      </w:r>
    </w:p>
    <w:p w14:paraId="7663D420" w14:textId="77777777" w:rsidR="002F46EF" w:rsidRDefault="002F46EF" w:rsidP="002F46EF">
      <w:pPr>
        <w:spacing w:after="0"/>
      </w:pPr>
      <w:r>
        <w:t xml:space="preserve">PSUR regarding fatal cases related to infections, the CHMP </w:t>
      </w:r>
    </w:p>
    <w:p w14:paraId="6ECDB42D" w14:textId="77777777" w:rsidR="002F46EF" w:rsidRDefault="002F46EF" w:rsidP="002F46EF">
      <w:pPr>
        <w:spacing w:after="0"/>
      </w:pPr>
      <w:r>
        <w:t>considered relevant to specify a periodicity for the complete</w:t>
      </w:r>
    </w:p>
    <w:p w14:paraId="6486198F" w14:textId="77777777" w:rsidR="002F46EF" w:rsidRDefault="002F46EF" w:rsidP="002F46EF">
      <w:pPr>
        <w:spacing w:after="0"/>
      </w:pPr>
      <w:r>
        <w:t>blood count (CBC) in the SmPC. An update of the existing</w:t>
      </w:r>
    </w:p>
    <w:p w14:paraId="078F5C7E" w14:textId="77777777" w:rsidR="002F46EF" w:rsidRDefault="002F46EF" w:rsidP="002F46EF">
      <w:pPr>
        <w:spacing w:after="0"/>
      </w:pPr>
      <w:r>
        <w:t>warning was made recommending assessment of CBC at</w:t>
      </w:r>
    </w:p>
    <w:p w14:paraId="21DC0393" w14:textId="77777777" w:rsidR="002F46EF" w:rsidRDefault="002F46EF" w:rsidP="002F46EF">
      <w:pPr>
        <w:spacing w:after="0"/>
      </w:pPr>
      <w:r>
        <w:t>month 3 and at least yearly thereafter.</w:t>
      </w:r>
    </w:p>
    <w:p w14:paraId="1081E1EA" w14:textId="77777777" w:rsidR="002F46EF" w:rsidRDefault="002F46EF" w:rsidP="002F46EF">
      <w:pPr>
        <w:spacing w:after="0"/>
      </w:pPr>
    </w:p>
    <w:p w14:paraId="61C49ABC" w14:textId="77777777" w:rsidR="002F46EF" w:rsidRDefault="002F46EF" w:rsidP="002F46EF">
      <w:pPr>
        <w:spacing w:after="0"/>
      </w:pPr>
      <w:r>
        <w:t>--</w:t>
      </w:r>
    </w:p>
    <w:p w14:paraId="4E70F823" w14:textId="77777777" w:rsidR="002F46EF" w:rsidRDefault="002F46EF" w:rsidP="002F46EF">
      <w:pPr>
        <w:spacing w:after="0"/>
      </w:pPr>
    </w:p>
    <w:p w14:paraId="5EEC2863" w14:textId="77777777" w:rsidR="002F46EF" w:rsidRDefault="002F46EF" w:rsidP="002F46EF">
      <w:pPr>
        <w:spacing w:after="0"/>
      </w:pPr>
      <w:r w:rsidRPr="00FF26A0">
        <w:t>25/11/2013</w:t>
      </w:r>
      <w:r>
        <w:t xml:space="preserve">: Following their assessment of PSUR 2 for </w:t>
      </w:r>
      <w:proofErr w:type="spellStart"/>
      <w:r>
        <w:t>Gilenya</w:t>
      </w:r>
      <w:proofErr w:type="spellEnd"/>
      <w:r>
        <w:t>, the CHMP</w:t>
      </w:r>
    </w:p>
    <w:p w14:paraId="24D6375B" w14:textId="77777777" w:rsidR="002F46EF" w:rsidRDefault="002F46EF" w:rsidP="002F46EF">
      <w:pPr>
        <w:spacing w:after="0"/>
      </w:pPr>
      <w:r>
        <w:t>requested the MAH to review available data regarding the</w:t>
      </w:r>
    </w:p>
    <w:p w14:paraId="49166C49" w14:textId="77777777" w:rsidR="002F46EF" w:rsidRDefault="002F46EF" w:rsidP="002F46EF">
      <w:pPr>
        <w:spacing w:after="0"/>
      </w:pPr>
      <w:r>
        <w:t>bradyarrhythmia effect of fingolimod and the occurrence of</w:t>
      </w:r>
    </w:p>
    <w:p w14:paraId="7C44F845" w14:textId="77777777" w:rsidR="002F46EF" w:rsidRDefault="002F46EF" w:rsidP="002F46EF">
      <w:pPr>
        <w:spacing w:after="0"/>
      </w:pPr>
      <w:r>
        <w:t>lymphoma. Subsequently to assessment of the presented</w:t>
      </w:r>
    </w:p>
    <w:p w14:paraId="7CF56167" w14:textId="77777777" w:rsidR="002F46EF" w:rsidRDefault="002F46EF" w:rsidP="002F46EF">
      <w:pPr>
        <w:spacing w:after="0"/>
      </w:pPr>
      <w:r>
        <w:lastRenderedPageBreak/>
        <w:t>analyses, the Product information has been updated to</w:t>
      </w:r>
    </w:p>
    <w:p w14:paraId="6CA6B3D0" w14:textId="77777777" w:rsidR="002F46EF" w:rsidRDefault="002F46EF" w:rsidP="002F46EF">
      <w:pPr>
        <w:spacing w:after="0"/>
      </w:pPr>
      <w:r>
        <w:t>include the following concepts:</w:t>
      </w:r>
    </w:p>
    <w:p w14:paraId="524D1518" w14:textId="77777777" w:rsidR="002F46EF" w:rsidRDefault="002F46EF" w:rsidP="002F46EF">
      <w:pPr>
        <w:spacing w:after="0"/>
      </w:pPr>
      <w:r>
        <w:t>- Section 4.4: after the first dose, the decline in heart rate</w:t>
      </w:r>
    </w:p>
    <w:p w14:paraId="722F0E29" w14:textId="77777777" w:rsidR="002F46EF" w:rsidRDefault="002F46EF" w:rsidP="002F46EF">
      <w:pPr>
        <w:spacing w:after="0"/>
      </w:pPr>
      <w:r>
        <w:t>starts within one hour, and is maximal within 6 hours. This</w:t>
      </w:r>
    </w:p>
    <w:p w14:paraId="123F2FF0" w14:textId="77777777" w:rsidR="002F46EF" w:rsidRDefault="002F46EF" w:rsidP="002F46EF">
      <w:pPr>
        <w:spacing w:after="0"/>
      </w:pPr>
      <w:r>
        <w:t>post-dose effect persists over the following days, although</w:t>
      </w:r>
    </w:p>
    <w:p w14:paraId="1D1EB32D" w14:textId="77777777" w:rsidR="002F46EF" w:rsidRDefault="002F46EF" w:rsidP="002F46EF">
      <w:pPr>
        <w:spacing w:after="0"/>
      </w:pPr>
      <w:r>
        <w:t>usually to a milder extent, and usually abates over the next</w:t>
      </w:r>
    </w:p>
    <w:p w14:paraId="3DCC8689" w14:textId="77777777" w:rsidR="002F46EF" w:rsidRDefault="002F46EF" w:rsidP="002F46EF">
      <w:pPr>
        <w:spacing w:after="0"/>
      </w:pPr>
      <w:r>
        <w:t>weeks. With continued administration, the average heart</w:t>
      </w:r>
    </w:p>
    <w:p w14:paraId="6A5210A8" w14:textId="77777777" w:rsidR="002F46EF" w:rsidRDefault="002F46EF" w:rsidP="002F46EF">
      <w:pPr>
        <w:spacing w:after="0"/>
      </w:pPr>
      <w:r>
        <w:t>rate returns towards baseline within one month. However</w:t>
      </w:r>
    </w:p>
    <w:p w14:paraId="6955E388" w14:textId="77777777" w:rsidR="002F46EF" w:rsidRDefault="002F46EF" w:rsidP="002F46EF">
      <w:pPr>
        <w:spacing w:after="0"/>
      </w:pPr>
      <w:r>
        <w:t>individual patients may not return to baseline heart rate by</w:t>
      </w:r>
    </w:p>
    <w:p w14:paraId="1F06C4D4" w14:textId="77777777" w:rsidR="002F46EF" w:rsidRDefault="002F46EF" w:rsidP="002F46EF">
      <w:pPr>
        <w:spacing w:after="0"/>
      </w:pPr>
      <w:r>
        <w:t>the end of the first month.</w:t>
      </w:r>
    </w:p>
    <w:p w14:paraId="61B9CC7C" w14:textId="77777777" w:rsidR="002F46EF" w:rsidRDefault="002F46EF" w:rsidP="002F46EF">
      <w:pPr>
        <w:spacing w:after="0"/>
      </w:pPr>
      <w:r>
        <w:t>- Section 4.8: there have been cases of lymphoma of</w:t>
      </w:r>
    </w:p>
    <w:p w14:paraId="2FE69839" w14:textId="77777777" w:rsidR="002F46EF" w:rsidRDefault="002F46EF" w:rsidP="002F46EF">
      <w:pPr>
        <w:spacing w:after="0"/>
      </w:pPr>
      <w:r>
        <w:t>different varieties, in both clinical studies and the</w:t>
      </w:r>
    </w:p>
    <w:p w14:paraId="3C6AA11E" w14:textId="77777777" w:rsidR="002F46EF" w:rsidRDefault="002F46EF" w:rsidP="002F46EF">
      <w:pPr>
        <w:spacing w:after="0"/>
      </w:pPr>
      <w:r>
        <w:t>post-marketing setting, including a fatal case of Epstein-Barr</w:t>
      </w:r>
    </w:p>
    <w:p w14:paraId="61B3D0A4" w14:textId="77777777" w:rsidR="002F46EF" w:rsidRDefault="002F46EF" w:rsidP="002F46EF">
      <w:pPr>
        <w:spacing w:after="0"/>
      </w:pPr>
      <w:r>
        <w:t>virus (EBV) positive B-cell lymphoma. The incidence of</w:t>
      </w:r>
    </w:p>
    <w:p w14:paraId="4A580E20" w14:textId="77777777" w:rsidR="002F46EF" w:rsidRDefault="002F46EF" w:rsidP="002F46EF">
      <w:pPr>
        <w:spacing w:after="0"/>
      </w:pPr>
      <w:r>
        <w:t>lymphoma (B-cell and T-cell) cases was higher in clinical</w:t>
      </w:r>
    </w:p>
    <w:p w14:paraId="2F22C6B4" w14:textId="77777777" w:rsidR="002F46EF" w:rsidRDefault="002F46EF" w:rsidP="002F46EF">
      <w:pPr>
        <w:spacing w:after="0"/>
      </w:pPr>
      <w:r>
        <w:t>trials than expected in the general population.</w:t>
      </w:r>
    </w:p>
    <w:p w14:paraId="642DC280" w14:textId="77777777" w:rsidR="002F46EF" w:rsidRDefault="002F46EF" w:rsidP="002F46EF">
      <w:pPr>
        <w:spacing w:after="0"/>
      </w:pPr>
      <w:r>
        <w:t>In addition, section 4.8 has been updated to be in line with</w:t>
      </w:r>
    </w:p>
    <w:p w14:paraId="4A8BA3E8" w14:textId="77777777" w:rsidR="002F46EF" w:rsidRDefault="002F46EF" w:rsidP="002F46EF">
      <w:pPr>
        <w:spacing w:after="0"/>
      </w:pPr>
      <w:r>
        <w:t>section 4.4 regarding the information on the</w:t>
      </w:r>
    </w:p>
    <w:p w14:paraId="6A1BDB56" w14:textId="77777777" w:rsidR="002F46EF" w:rsidRDefault="002F46EF" w:rsidP="002F46EF">
      <w:pPr>
        <w:spacing w:after="0"/>
      </w:pPr>
      <w:r>
        <w:t>bradyarrhythmia effect and to include hypotension as an</w:t>
      </w:r>
    </w:p>
    <w:p w14:paraId="49BA6D33" w14:textId="77777777" w:rsidR="002F46EF" w:rsidRDefault="002F46EF" w:rsidP="002F46EF">
      <w:pPr>
        <w:spacing w:after="0"/>
      </w:pPr>
      <w:r>
        <w:t>associated symptom as follows: bradycardia was generally</w:t>
      </w:r>
    </w:p>
    <w:p w14:paraId="0FFC1A24" w14:textId="77777777" w:rsidR="002F46EF" w:rsidRDefault="002F46EF" w:rsidP="002F46EF">
      <w:pPr>
        <w:spacing w:after="0"/>
      </w:pPr>
      <w:r>
        <w:t>asymptomatic but some patients experienced mild to</w:t>
      </w:r>
    </w:p>
    <w:p w14:paraId="55839E09" w14:textId="77777777" w:rsidR="002F46EF" w:rsidRDefault="002F46EF" w:rsidP="002F46EF">
      <w:pPr>
        <w:spacing w:after="0"/>
      </w:pPr>
      <w:r>
        <w:t>moderate symptoms, including hypotension, dizziness,</w:t>
      </w:r>
      <w:r w:rsidRPr="00FF26A0">
        <w:t xml:space="preserve"> </w:t>
      </w:r>
    </w:p>
    <w:p w14:paraId="355299A2" w14:textId="77777777" w:rsidR="002F46EF" w:rsidRDefault="002F46EF" w:rsidP="002F46EF">
      <w:pPr>
        <w:spacing w:after="0"/>
      </w:pPr>
      <w:r>
        <w:t>fatigue and/or palpitations, which resolved within the first 24</w:t>
      </w:r>
    </w:p>
    <w:p w14:paraId="3CDCB7F0" w14:textId="77777777" w:rsidR="002F46EF" w:rsidRDefault="002F46EF" w:rsidP="002F46EF">
      <w:pPr>
        <w:spacing w:after="0"/>
      </w:pPr>
      <w:r>
        <w:t>hours after treatment initiation</w:t>
      </w:r>
    </w:p>
    <w:p w14:paraId="7A895517" w14:textId="77777777" w:rsidR="002F46EF" w:rsidRDefault="002F46EF" w:rsidP="002F46EF">
      <w:pPr>
        <w:spacing w:after="0"/>
      </w:pPr>
    </w:p>
    <w:p w14:paraId="01924A92" w14:textId="77777777" w:rsidR="002F46EF" w:rsidRDefault="002F46EF" w:rsidP="002F46EF">
      <w:pPr>
        <w:spacing w:after="0"/>
      </w:pPr>
      <w:r>
        <w:t>--</w:t>
      </w:r>
    </w:p>
    <w:p w14:paraId="64437637" w14:textId="77777777" w:rsidR="002F46EF" w:rsidRDefault="002F46EF" w:rsidP="002F46EF">
      <w:pPr>
        <w:spacing w:after="0"/>
      </w:pPr>
    </w:p>
    <w:p w14:paraId="0B1AF826" w14:textId="77777777" w:rsidR="002F46EF" w:rsidRDefault="002F46EF" w:rsidP="002F46EF">
      <w:pPr>
        <w:spacing w:after="0"/>
      </w:pPr>
      <w:r w:rsidRPr="00FF26A0">
        <w:t>25/11/2013</w:t>
      </w:r>
      <w:r>
        <w:t>: Based on the SmPC recommendation, all patients starting</w:t>
      </w:r>
    </w:p>
    <w:p w14:paraId="24AE726B" w14:textId="77777777" w:rsidR="002F46EF" w:rsidRDefault="002F46EF" w:rsidP="002F46EF">
      <w:pPr>
        <w:spacing w:after="0"/>
      </w:pPr>
      <w:r>
        <w:t xml:space="preserve">treatment with </w:t>
      </w:r>
      <w:proofErr w:type="spellStart"/>
      <w:r>
        <w:t>Gilenya</w:t>
      </w:r>
      <w:proofErr w:type="spellEnd"/>
      <w:r>
        <w:t xml:space="preserve"> should have their heart activity</w:t>
      </w:r>
    </w:p>
    <w:p w14:paraId="53683794" w14:textId="77777777" w:rsidR="002F46EF" w:rsidRDefault="002F46EF" w:rsidP="002F46EF">
      <w:pPr>
        <w:spacing w:after="0"/>
      </w:pPr>
      <w:r>
        <w:t>monitored before receiving the first dose of the medicine and</w:t>
      </w:r>
    </w:p>
    <w:p w14:paraId="60291842" w14:textId="77777777" w:rsidR="002F46EF" w:rsidRDefault="002F46EF" w:rsidP="002F46EF">
      <w:pPr>
        <w:spacing w:after="0"/>
      </w:pPr>
      <w:r>
        <w:t>continuously for at least six hours thereafter as some</w:t>
      </w:r>
    </w:p>
    <w:p w14:paraId="2394809B" w14:textId="77777777" w:rsidR="002F46EF" w:rsidRDefault="002F46EF" w:rsidP="002F46EF">
      <w:pPr>
        <w:spacing w:after="0"/>
      </w:pPr>
      <w:r>
        <w:t>patients may develop heart problems such as bradycardia (a</w:t>
      </w:r>
    </w:p>
    <w:p w14:paraId="131691FA" w14:textId="77777777" w:rsidR="002F46EF" w:rsidRDefault="002F46EF" w:rsidP="002F46EF">
      <w:pPr>
        <w:spacing w:after="0"/>
      </w:pPr>
      <w:r>
        <w:t>slow heart rate) or atrioventricular block (a problem with the</w:t>
      </w:r>
    </w:p>
    <w:p w14:paraId="63EAEB3A" w14:textId="77777777" w:rsidR="002F46EF" w:rsidRDefault="002F46EF" w:rsidP="002F46EF">
      <w:pPr>
        <w:spacing w:after="0"/>
      </w:pPr>
      <w:r>
        <w:t xml:space="preserve">conduction of electricity in the heart). The SmPC of </w:t>
      </w:r>
      <w:proofErr w:type="spellStart"/>
      <w:r>
        <w:t>Gilenya</w:t>
      </w:r>
      <w:proofErr w:type="spellEnd"/>
    </w:p>
    <w:p w14:paraId="464EEDE1" w14:textId="77777777" w:rsidR="002F46EF" w:rsidRDefault="002F46EF" w:rsidP="002F46EF">
      <w:pPr>
        <w:spacing w:after="0"/>
      </w:pPr>
      <w:r>
        <w:t>also recommends that this first dose monitoring be repeated</w:t>
      </w:r>
    </w:p>
    <w:p w14:paraId="5D08BA76" w14:textId="77777777" w:rsidR="002F46EF" w:rsidRDefault="002F46EF" w:rsidP="002F46EF">
      <w:pPr>
        <w:spacing w:after="0"/>
      </w:pPr>
      <w:r>
        <w:t>if a patient, who was treated for more than 1 month with</w:t>
      </w:r>
    </w:p>
    <w:p w14:paraId="32E62606" w14:textId="77777777" w:rsidR="002F46EF" w:rsidRDefault="002F46EF" w:rsidP="002F46EF">
      <w:pPr>
        <w:spacing w:after="0"/>
      </w:pPr>
      <w:proofErr w:type="spellStart"/>
      <w:r>
        <w:t>Gilenya</w:t>
      </w:r>
      <w:proofErr w:type="spellEnd"/>
      <w:r>
        <w:t xml:space="preserve"> and stopped taking it for two weeks or more,</w:t>
      </w:r>
    </w:p>
    <w:p w14:paraId="424D6FE6" w14:textId="77777777" w:rsidR="002F46EF" w:rsidRDefault="002F46EF" w:rsidP="002F46EF">
      <w:pPr>
        <w:spacing w:after="0"/>
      </w:pPr>
      <w:r>
        <w:t xml:space="preserve">re-starts treatment. The timeframe of </w:t>
      </w:r>
      <w:proofErr w:type="spellStart"/>
      <w:r>
        <w:t>Gilenya</w:t>
      </w:r>
      <w:proofErr w:type="spellEnd"/>
      <w:r>
        <w:t xml:space="preserve"> therapy</w:t>
      </w:r>
    </w:p>
    <w:p w14:paraId="2FCA9B7B" w14:textId="77777777" w:rsidR="002F46EF" w:rsidRDefault="002F46EF" w:rsidP="002F46EF">
      <w:pPr>
        <w:spacing w:after="0"/>
      </w:pPr>
      <w:r>
        <w:t>interruption has been investigated by the MAH using</w:t>
      </w:r>
    </w:p>
    <w:p w14:paraId="0ABB77C2" w14:textId="77777777" w:rsidR="002F46EF" w:rsidRDefault="002F46EF" w:rsidP="002F46EF">
      <w:pPr>
        <w:spacing w:after="0"/>
      </w:pPr>
      <w:r>
        <w:t>pharmacokinetics, pharmacokinetic/pharmacodynamic</w:t>
      </w:r>
    </w:p>
    <w:p w14:paraId="54EDF82F" w14:textId="77777777" w:rsidR="002F46EF" w:rsidRDefault="002F46EF" w:rsidP="002F46EF">
      <w:pPr>
        <w:spacing w:after="0"/>
      </w:pPr>
      <w:r>
        <w:t>models and titration data to better define when such</w:t>
      </w:r>
    </w:p>
    <w:p w14:paraId="48571172" w14:textId="77777777" w:rsidR="002F46EF" w:rsidRDefault="002F46EF" w:rsidP="002F46EF">
      <w:pPr>
        <w:spacing w:after="0"/>
      </w:pPr>
      <w:r>
        <w:t>monitoring should be considered. Based on these data, the</w:t>
      </w:r>
    </w:p>
    <w:p w14:paraId="4F450B3E" w14:textId="77777777" w:rsidR="002F46EF" w:rsidRDefault="002F46EF" w:rsidP="002F46EF">
      <w:pPr>
        <w:spacing w:after="0"/>
      </w:pPr>
      <w:r>
        <w:t>CHMP recommended to extend the current advice for heart</w:t>
      </w:r>
    </w:p>
    <w:p w14:paraId="26CD38A5" w14:textId="77777777" w:rsidR="002F46EF" w:rsidRDefault="002F46EF" w:rsidP="002F46EF">
      <w:pPr>
        <w:spacing w:after="0"/>
      </w:pPr>
      <w:r>
        <w:t>activity monitoring in case of re-initiation of treatment to the</w:t>
      </w:r>
    </w:p>
    <w:p w14:paraId="2A02D3BB" w14:textId="77777777" w:rsidR="002F46EF" w:rsidRDefault="002F46EF" w:rsidP="002F46EF">
      <w:pPr>
        <w:spacing w:after="0"/>
      </w:pPr>
      <w:r>
        <w:t>following situations: 1) treatment is interrupted for one day</w:t>
      </w:r>
    </w:p>
    <w:p w14:paraId="498172D7" w14:textId="77777777" w:rsidR="002F46EF" w:rsidRDefault="002F46EF" w:rsidP="002F46EF">
      <w:pPr>
        <w:spacing w:after="0"/>
      </w:pPr>
      <w:r>
        <w:t>or more during the first 2 weeks of treatment, 2) treatment is</w:t>
      </w:r>
    </w:p>
    <w:p w14:paraId="061F8E02" w14:textId="77777777" w:rsidR="002F46EF" w:rsidRDefault="002F46EF" w:rsidP="002F46EF">
      <w:pPr>
        <w:spacing w:after="0"/>
      </w:pPr>
      <w:r>
        <w:t>interrupted for more than 7 days during weeks 3 and 4 of</w:t>
      </w:r>
    </w:p>
    <w:p w14:paraId="0397856C" w14:textId="77777777" w:rsidR="002F46EF" w:rsidRDefault="002F46EF" w:rsidP="002F46EF">
      <w:pPr>
        <w:spacing w:after="0"/>
      </w:pPr>
      <w:r>
        <w:t>treatment. In addition, such monitoring should be repeated</w:t>
      </w:r>
    </w:p>
    <w:p w14:paraId="66E63788" w14:textId="77777777" w:rsidR="002F46EF" w:rsidRDefault="002F46EF" w:rsidP="002F46EF">
      <w:pPr>
        <w:spacing w:after="0"/>
      </w:pPr>
      <w:r>
        <w:lastRenderedPageBreak/>
        <w:t>for the second dose in patients requiring pharmacological</w:t>
      </w:r>
    </w:p>
    <w:p w14:paraId="28ED3832" w14:textId="77777777" w:rsidR="002F46EF" w:rsidRDefault="002F46EF" w:rsidP="002F46EF">
      <w:pPr>
        <w:spacing w:after="0"/>
      </w:pPr>
      <w:r>
        <w:t>intervention during the first dose.</w:t>
      </w:r>
    </w:p>
    <w:p w14:paraId="2F919D33" w14:textId="77777777" w:rsidR="002F46EF" w:rsidRDefault="002F46EF" w:rsidP="002F46EF">
      <w:pPr>
        <w:spacing w:after="0"/>
      </w:pPr>
    </w:p>
    <w:p w14:paraId="00486880" w14:textId="77777777" w:rsidR="002F46EF" w:rsidRDefault="002F46EF" w:rsidP="002F46EF">
      <w:pPr>
        <w:spacing w:after="0"/>
      </w:pPr>
      <w:r>
        <w:t>--</w:t>
      </w:r>
    </w:p>
    <w:p w14:paraId="74DDA81A" w14:textId="77777777" w:rsidR="002F46EF" w:rsidRDefault="002F46EF" w:rsidP="002F46EF">
      <w:pPr>
        <w:spacing w:after="0"/>
      </w:pPr>
    </w:p>
    <w:p w14:paraId="7686D0B9" w14:textId="77777777" w:rsidR="002F46EF" w:rsidRDefault="002F46EF" w:rsidP="002F46EF">
      <w:pPr>
        <w:spacing w:after="0"/>
      </w:pPr>
      <w:r w:rsidRPr="00FF26A0">
        <w:t>22/11/2012</w:t>
      </w:r>
      <w:r>
        <w:t>: On the basis of the data submitted, the CHMP considered that</w:t>
      </w:r>
    </w:p>
    <w:p w14:paraId="2D024B5C" w14:textId="77777777" w:rsidR="002F46EF" w:rsidRDefault="002F46EF" w:rsidP="002F46EF">
      <w:pPr>
        <w:spacing w:after="0"/>
      </w:pPr>
      <w:r>
        <w:t>this present applicant fulfilled the request for updating the</w:t>
      </w:r>
    </w:p>
    <w:p w14:paraId="4C11CF87" w14:textId="77777777" w:rsidR="002F46EF" w:rsidRDefault="002F46EF" w:rsidP="002F46EF">
      <w:pPr>
        <w:spacing w:after="0"/>
      </w:pPr>
      <w:r>
        <w:t>Product Information to include that PRES were also observed</w:t>
      </w:r>
    </w:p>
    <w:p w14:paraId="62535657" w14:textId="77777777" w:rsidR="002F46EF" w:rsidRDefault="002F46EF" w:rsidP="002F46EF">
      <w:pPr>
        <w:spacing w:after="0"/>
      </w:pPr>
      <w:r>
        <w:t>with the 0.5 mg dose used in the approved indication. The</w:t>
      </w:r>
    </w:p>
    <w:p w14:paraId="322441D1" w14:textId="77777777" w:rsidR="002F46EF" w:rsidRDefault="002F46EF" w:rsidP="002F46EF">
      <w:pPr>
        <w:spacing w:after="0"/>
      </w:pPr>
      <w:r>
        <w:t>following information has been reflected in the Product Information:</w:t>
      </w:r>
    </w:p>
    <w:p w14:paraId="33FDAC38" w14:textId="77777777" w:rsidR="002F46EF" w:rsidRDefault="002F46EF" w:rsidP="002F46EF">
      <w:pPr>
        <w:spacing w:after="0"/>
      </w:pPr>
      <w:r>
        <w:t>- Section 4.8: In clinical studies, rare events involving the</w:t>
      </w:r>
    </w:p>
    <w:p w14:paraId="25C4AA26" w14:textId="77777777" w:rsidR="002F46EF" w:rsidRDefault="002F46EF" w:rsidP="002F46EF">
      <w:pPr>
        <w:spacing w:after="0"/>
      </w:pPr>
      <w:r>
        <w:t>nervous system occurred in patients treated with fingolimod</w:t>
      </w:r>
    </w:p>
    <w:p w14:paraId="04C04A6D" w14:textId="77777777" w:rsidR="002F46EF" w:rsidRDefault="002F46EF" w:rsidP="002F46EF">
      <w:pPr>
        <w:spacing w:after="0"/>
      </w:pPr>
      <w:r>
        <w:t>at higher doses (1.25 or 5.0 mg) including ischemic and</w:t>
      </w:r>
    </w:p>
    <w:p w14:paraId="5FF3EA2C" w14:textId="77777777" w:rsidR="002F46EF" w:rsidRDefault="002F46EF" w:rsidP="002F46EF">
      <w:pPr>
        <w:spacing w:after="0"/>
      </w:pPr>
      <w:r>
        <w:t>haemorrhagic strokes, posterior reversible encephalopathy</w:t>
      </w:r>
    </w:p>
    <w:p w14:paraId="2B6B8B21" w14:textId="77777777" w:rsidR="002F46EF" w:rsidRDefault="002F46EF" w:rsidP="002F46EF">
      <w:pPr>
        <w:spacing w:after="0"/>
      </w:pPr>
      <w:r>
        <w:t>syndrome and neurological atypical disorders, such as acute</w:t>
      </w:r>
    </w:p>
    <w:p w14:paraId="57C52F1A" w14:textId="77777777" w:rsidR="002F46EF" w:rsidRDefault="002F46EF" w:rsidP="002F46EF">
      <w:pPr>
        <w:spacing w:after="0"/>
      </w:pPr>
      <w:r>
        <w:t>disseminated encephalomyelitis (ADEM)-like events. Rare</w:t>
      </w:r>
    </w:p>
    <w:p w14:paraId="42ACE88A" w14:textId="77777777" w:rsidR="002F46EF" w:rsidRDefault="002F46EF" w:rsidP="002F46EF">
      <w:pPr>
        <w:spacing w:after="0"/>
      </w:pPr>
      <w:r>
        <w:t>cases of posterior reversible encephalopathy syndrome have</w:t>
      </w:r>
    </w:p>
    <w:p w14:paraId="7E61C5C7" w14:textId="77777777" w:rsidR="002F46EF" w:rsidRDefault="002F46EF" w:rsidP="002F46EF">
      <w:pPr>
        <w:spacing w:after="0"/>
      </w:pPr>
      <w:r>
        <w:t>also been reported at doses of 0.5 mg in both the clinical and</w:t>
      </w:r>
    </w:p>
    <w:p w14:paraId="07ED66B9" w14:textId="77777777" w:rsidR="002F46EF" w:rsidRDefault="002F46EF" w:rsidP="002F46EF">
      <w:pPr>
        <w:spacing w:after="0"/>
      </w:pPr>
      <w:r>
        <w:t>the post-marketing setting.</w:t>
      </w:r>
    </w:p>
    <w:p w14:paraId="398A6B66" w14:textId="77777777" w:rsidR="002F46EF" w:rsidRDefault="002F46EF" w:rsidP="002F46EF">
      <w:pPr>
        <w:spacing w:after="0"/>
      </w:pPr>
      <w:r>
        <w:t>- Section 4: Rare: A condition called posterior reversible</w:t>
      </w:r>
    </w:p>
    <w:p w14:paraId="0E46F7A2" w14:textId="77777777" w:rsidR="002F46EF" w:rsidRDefault="002F46EF" w:rsidP="002F46EF">
      <w:pPr>
        <w:spacing w:after="0"/>
      </w:pPr>
      <w:r>
        <w:t>encephalopathy syndrome (PRES). Symptoms may be</w:t>
      </w:r>
    </w:p>
    <w:p w14:paraId="5396B194" w14:textId="77777777" w:rsidR="002F46EF" w:rsidRDefault="002F46EF" w:rsidP="002F46EF">
      <w:pPr>
        <w:spacing w:after="0"/>
      </w:pPr>
      <w:r>
        <w:t>headache, confusion, seizures and/or vision disturbances.</w:t>
      </w:r>
    </w:p>
    <w:p w14:paraId="57276FA7" w14:textId="77777777" w:rsidR="002F46EF" w:rsidRDefault="002F46EF" w:rsidP="002F46EF">
      <w:pPr>
        <w:spacing w:after="0"/>
      </w:pPr>
    </w:p>
    <w:p w14:paraId="1EF3414C" w14:textId="77777777" w:rsidR="002F46EF" w:rsidRDefault="002F46EF" w:rsidP="002F46EF">
      <w:pPr>
        <w:spacing w:after="0"/>
      </w:pPr>
      <w:r>
        <w:t>--</w:t>
      </w:r>
    </w:p>
    <w:p w14:paraId="751CBC19" w14:textId="77777777" w:rsidR="002F46EF" w:rsidRDefault="002F46EF" w:rsidP="002F46EF">
      <w:pPr>
        <w:spacing w:after="0"/>
      </w:pPr>
    </w:p>
    <w:p w14:paraId="6A6913D3" w14:textId="77777777" w:rsidR="002F46EF" w:rsidRDefault="002F46EF" w:rsidP="002F46EF">
      <w:pPr>
        <w:spacing w:after="0"/>
      </w:pPr>
      <w:r w:rsidRPr="0043435B">
        <w:t>14/12/2011</w:t>
      </w:r>
      <w:r>
        <w:t>: On the basis of the submitted data, the CHMP recommended</w:t>
      </w:r>
    </w:p>
    <w:p w14:paraId="5C2A7286" w14:textId="77777777" w:rsidR="002F46EF" w:rsidRDefault="002F46EF" w:rsidP="002F46EF">
      <w:pPr>
        <w:spacing w:after="0"/>
      </w:pPr>
      <w:r>
        <w:t>to revise the time of occurrence of liver enzymes elevations</w:t>
      </w:r>
    </w:p>
    <w:p w14:paraId="63785598" w14:textId="77777777" w:rsidR="002F46EF" w:rsidRDefault="002F46EF" w:rsidP="002F46EF">
      <w:pPr>
        <w:spacing w:after="0"/>
      </w:pPr>
      <w:r>
        <w:t>and related recommendation on monitoring. The relevant</w:t>
      </w:r>
    </w:p>
    <w:p w14:paraId="1A789D09" w14:textId="77777777" w:rsidR="002F46EF" w:rsidRDefault="002F46EF" w:rsidP="002F46EF">
      <w:pPr>
        <w:spacing w:after="0"/>
      </w:pPr>
      <w:r>
        <w:t>text resulting from this variation is as follows:</w:t>
      </w:r>
    </w:p>
    <w:p w14:paraId="202D1C91" w14:textId="77777777" w:rsidR="002F46EF" w:rsidRDefault="002F46EF" w:rsidP="002F46EF">
      <w:pPr>
        <w:spacing w:after="0"/>
      </w:pPr>
      <w:r>
        <w:t>Section 4.4:</w:t>
      </w:r>
    </w:p>
    <w:p w14:paraId="7DADA649" w14:textId="77777777" w:rsidR="002F46EF" w:rsidRDefault="002F46EF" w:rsidP="002F46EF">
      <w:pPr>
        <w:spacing w:after="0"/>
      </w:pPr>
      <w:r>
        <w:t>Recent (</w:t>
      </w:r>
      <w:proofErr w:type="gramStart"/>
      <w:r>
        <w:t>i.e.</w:t>
      </w:r>
      <w:proofErr w:type="gramEnd"/>
      <w:r>
        <w:t xml:space="preserve"> within last 6 months) transaminase and bilirubin</w:t>
      </w:r>
    </w:p>
    <w:p w14:paraId="09D146E5" w14:textId="77777777" w:rsidR="002F46EF" w:rsidRDefault="002F46EF" w:rsidP="002F46EF">
      <w:pPr>
        <w:spacing w:after="0"/>
      </w:pPr>
      <w:r>
        <w:t>levels should be available before initiation of treatment with</w:t>
      </w:r>
    </w:p>
    <w:p w14:paraId="3C9962C8" w14:textId="77777777" w:rsidR="002F46EF" w:rsidRDefault="002F46EF" w:rsidP="002F46EF">
      <w:pPr>
        <w:spacing w:after="0"/>
      </w:pPr>
      <w:proofErr w:type="spellStart"/>
      <w:r>
        <w:t>Gilenya</w:t>
      </w:r>
      <w:proofErr w:type="spellEnd"/>
      <w:r>
        <w:t>. In the absence of clinical symptoms, liver</w:t>
      </w:r>
    </w:p>
    <w:p w14:paraId="636F7735" w14:textId="77777777" w:rsidR="002F46EF" w:rsidRDefault="002F46EF" w:rsidP="002F46EF">
      <w:pPr>
        <w:spacing w:after="0"/>
      </w:pPr>
      <w:r>
        <w:t>transaminases should be monitored at Months 1, 3, 6 ,9 and</w:t>
      </w:r>
    </w:p>
    <w:p w14:paraId="463D2351" w14:textId="77777777" w:rsidR="002F46EF" w:rsidRDefault="002F46EF" w:rsidP="002F46EF">
      <w:pPr>
        <w:spacing w:after="0"/>
      </w:pPr>
      <w:r>
        <w:t>12 on therapy and periodically thereafter. If liver</w:t>
      </w:r>
    </w:p>
    <w:p w14:paraId="3280A5F4" w14:textId="77777777" w:rsidR="002F46EF" w:rsidRDefault="002F46EF" w:rsidP="002F46EF">
      <w:pPr>
        <w:spacing w:after="0"/>
      </w:pPr>
      <w:r>
        <w:t>transaminases rise above 5 times the ULN, more frequent</w:t>
      </w:r>
    </w:p>
    <w:p w14:paraId="0C6B5F14" w14:textId="77777777" w:rsidR="002F46EF" w:rsidRDefault="002F46EF" w:rsidP="002F46EF">
      <w:pPr>
        <w:spacing w:after="0"/>
      </w:pPr>
      <w:r>
        <w:t>monitoring should be instituted, including serum bilirubin</w:t>
      </w:r>
    </w:p>
    <w:p w14:paraId="0E2B4927" w14:textId="77777777" w:rsidR="002F46EF" w:rsidRDefault="002F46EF" w:rsidP="002F46EF">
      <w:pPr>
        <w:spacing w:after="0"/>
      </w:pPr>
      <w:r>
        <w:t>and alkaline phosphatase (ALP) measurement. With</w:t>
      </w:r>
    </w:p>
    <w:p w14:paraId="2DA20A34" w14:textId="77777777" w:rsidR="002F46EF" w:rsidRDefault="002F46EF" w:rsidP="002F46EF">
      <w:pPr>
        <w:spacing w:after="0"/>
      </w:pPr>
      <w:r>
        <w:t>repeated confirmation of liver transaminases above 5 times</w:t>
      </w:r>
    </w:p>
    <w:p w14:paraId="3C6E26BC" w14:textId="77777777" w:rsidR="002F46EF" w:rsidRDefault="002F46EF" w:rsidP="002F46EF">
      <w:pPr>
        <w:spacing w:after="0"/>
      </w:pPr>
      <w:r>
        <w:t xml:space="preserve">the ULN, treatment with </w:t>
      </w:r>
      <w:proofErr w:type="spellStart"/>
      <w:r>
        <w:t>Gilenya</w:t>
      </w:r>
      <w:proofErr w:type="spellEnd"/>
      <w:r>
        <w:t xml:space="preserve"> should be interrupted and</w:t>
      </w:r>
    </w:p>
    <w:p w14:paraId="68D0DCD3" w14:textId="77777777" w:rsidR="002F46EF" w:rsidRDefault="002F46EF" w:rsidP="002F46EF">
      <w:pPr>
        <w:spacing w:after="0"/>
      </w:pPr>
      <w:r>
        <w:t>only re-commenced once liver transaminase values have</w:t>
      </w:r>
    </w:p>
    <w:p w14:paraId="2FB48563" w14:textId="77777777" w:rsidR="002F46EF" w:rsidRDefault="002F46EF" w:rsidP="002F46EF">
      <w:pPr>
        <w:spacing w:after="0"/>
      </w:pPr>
      <w:r>
        <w:t xml:space="preserve">normalised. </w:t>
      </w:r>
    </w:p>
    <w:p w14:paraId="2B1D44BE" w14:textId="036A0FCF" w:rsidR="002F46EF" w:rsidRDefault="002F46EF" w:rsidP="00DD5727">
      <w:r>
        <w:t>--</w:t>
      </w:r>
    </w:p>
    <w:p w14:paraId="4B119CAC" w14:textId="16F7A8EA" w:rsidR="00DD5727" w:rsidRDefault="007B3B4E" w:rsidP="00DD5727">
      <w:hyperlink r:id="rId12" w:history="1">
        <w:r w:rsidR="00DD5727" w:rsidRPr="002731D6">
          <w:rPr>
            <w:rStyle w:val="Hyperlink"/>
          </w:rPr>
          <w:t>https://www.ema.europa.eu/en/documents/variation-report/gilenya-h-c-2202-a20-0008-epar-assessment-report-article-20_en.pdf</w:t>
        </w:r>
      </w:hyperlink>
      <w:r w:rsidR="00DD5727">
        <w:t xml:space="preserve"> </w:t>
      </w:r>
    </w:p>
    <w:p w14:paraId="250219E7" w14:textId="77777777" w:rsidR="00DD5727" w:rsidRDefault="00DD5727" w:rsidP="000234F6">
      <w:pPr>
        <w:spacing w:after="0"/>
      </w:pPr>
      <w:r>
        <w:t>“Whereas</w:t>
      </w:r>
    </w:p>
    <w:p w14:paraId="5CA86B90" w14:textId="77777777" w:rsidR="00DD5727" w:rsidRDefault="00DD5727" w:rsidP="000234F6">
      <w:pPr>
        <w:spacing w:after="0"/>
      </w:pPr>
      <w:r>
        <w:t>• The Committee considered the procedure under Article 20 of Regulation (EC) No 726/2004, for</w:t>
      </w:r>
    </w:p>
    <w:p w14:paraId="44335971" w14:textId="77777777" w:rsidR="00DD5727" w:rsidRDefault="00DD5727" w:rsidP="000234F6">
      <w:pPr>
        <w:spacing w:after="0"/>
      </w:pPr>
      <w:proofErr w:type="spellStart"/>
      <w:r>
        <w:lastRenderedPageBreak/>
        <w:t>Gilenya</w:t>
      </w:r>
      <w:proofErr w:type="spellEnd"/>
      <w:r>
        <w:t xml:space="preserve"> initiated by the European Commission.</w:t>
      </w:r>
    </w:p>
    <w:p w14:paraId="00FB0DA2" w14:textId="77777777" w:rsidR="00DD5727" w:rsidRDefault="00DD5727" w:rsidP="000234F6">
      <w:pPr>
        <w:spacing w:after="0"/>
      </w:pPr>
      <w:r>
        <w:t>• The Committee reviewed the available safety data from clinical trials and post-marketing data on</w:t>
      </w:r>
    </w:p>
    <w:p w14:paraId="3A46C190" w14:textId="77777777" w:rsidR="00DD5727" w:rsidRDefault="00DD5727" w:rsidP="000234F6">
      <w:pPr>
        <w:spacing w:after="0"/>
      </w:pPr>
      <w:r>
        <w:t>the cardiovascular adverse events reported and in particular during the 24 hours after first dose</w:t>
      </w:r>
    </w:p>
    <w:p w14:paraId="477C969E" w14:textId="77777777" w:rsidR="00DD5727" w:rsidRDefault="00DD5727" w:rsidP="000234F6">
      <w:pPr>
        <w:spacing w:after="0"/>
      </w:pPr>
      <w:r>
        <w:t xml:space="preserve">administration of </w:t>
      </w:r>
      <w:proofErr w:type="spellStart"/>
      <w:r>
        <w:t>Gilenya</w:t>
      </w:r>
      <w:proofErr w:type="spellEnd"/>
      <w:r>
        <w:t>.</w:t>
      </w:r>
    </w:p>
    <w:p w14:paraId="11AB0085" w14:textId="77777777" w:rsidR="00DD5727" w:rsidRDefault="00DD5727" w:rsidP="00DD5727">
      <w:pPr>
        <w:spacing w:after="0"/>
      </w:pPr>
      <w:r>
        <w:t>• In view of the available data the Committee concluded that serious cases of bradyarrhythmia and</w:t>
      </w:r>
    </w:p>
    <w:p w14:paraId="683FAEFA" w14:textId="77777777" w:rsidR="00DD5727" w:rsidRDefault="00DD5727" w:rsidP="00DD5727">
      <w:pPr>
        <w:spacing w:after="0"/>
      </w:pPr>
      <w:r>
        <w:t>hypertension have been reported with fingolimod. These occur in particular by 6 hours after the</w:t>
      </w:r>
    </w:p>
    <w:p w14:paraId="6E28A3A7" w14:textId="77777777" w:rsidR="00DD5727" w:rsidRDefault="00DD5727" w:rsidP="00DD5727">
      <w:pPr>
        <w:spacing w:after="0"/>
      </w:pPr>
      <w:r>
        <w:t xml:space="preserve">first dose administration of </w:t>
      </w:r>
      <w:proofErr w:type="spellStart"/>
      <w:r>
        <w:t>Gilenya</w:t>
      </w:r>
      <w:proofErr w:type="spellEnd"/>
      <w:r>
        <w:t>.</w:t>
      </w:r>
    </w:p>
    <w:p w14:paraId="281B4105" w14:textId="77777777" w:rsidR="00DD5727" w:rsidRDefault="00DD5727" w:rsidP="00DD5727">
      <w:pPr>
        <w:spacing w:after="0"/>
      </w:pPr>
      <w:r>
        <w:t>• The Committee therefore recommended that all patients should have an ECG and blood pressure</w:t>
      </w:r>
    </w:p>
    <w:p w14:paraId="389A2054" w14:textId="77777777" w:rsidR="00DD5727" w:rsidRDefault="00DD5727" w:rsidP="00DD5727">
      <w:pPr>
        <w:spacing w:after="0"/>
      </w:pPr>
      <w:r>
        <w:t xml:space="preserve">measurement performed at baseline prior to the first dose of </w:t>
      </w:r>
      <w:proofErr w:type="spellStart"/>
      <w:r>
        <w:t>Gilenya</w:t>
      </w:r>
      <w:proofErr w:type="spellEnd"/>
      <w:r>
        <w:t>. The committee agreed that</w:t>
      </w:r>
    </w:p>
    <w:p w14:paraId="0BD7033F" w14:textId="77777777" w:rsidR="00DD5727" w:rsidRDefault="00DD5727" w:rsidP="00DD5727">
      <w:pPr>
        <w:spacing w:after="0"/>
      </w:pPr>
      <w:proofErr w:type="spellStart"/>
      <w:r>
        <w:t>Gilenya</w:t>
      </w:r>
      <w:proofErr w:type="spellEnd"/>
      <w:r>
        <w:t xml:space="preserve"> should not be used in patients at risk of cardiovascular disease and as use of beta blockers</w:t>
      </w:r>
    </w:p>
    <w:p w14:paraId="52A43B5D" w14:textId="77777777" w:rsidR="00DD5727" w:rsidRDefault="00DD5727" w:rsidP="00DD5727">
      <w:pPr>
        <w:spacing w:after="0"/>
      </w:pPr>
      <w:r>
        <w:t>and calcium channel blockers during treatment initiation may be associated with severe</w:t>
      </w:r>
    </w:p>
    <w:p w14:paraId="01863076" w14:textId="77777777" w:rsidR="00DD5727" w:rsidRDefault="00DD5727" w:rsidP="00DD5727">
      <w:pPr>
        <w:spacing w:after="0"/>
      </w:pPr>
      <w:r>
        <w:t xml:space="preserve">bradycardia and heart block, </w:t>
      </w:r>
      <w:proofErr w:type="spellStart"/>
      <w:r>
        <w:t>Gilenya</w:t>
      </w:r>
      <w:proofErr w:type="spellEnd"/>
      <w:r>
        <w:t xml:space="preserve"> should not be initiated in patients who are concurrently</w:t>
      </w:r>
    </w:p>
    <w:p w14:paraId="13FDD1E5" w14:textId="77777777" w:rsidR="00DD5727" w:rsidRDefault="00DD5727" w:rsidP="00DD5727">
      <w:pPr>
        <w:spacing w:after="0"/>
      </w:pPr>
      <w:r>
        <w:t xml:space="preserve">treated with these substances. Furthermore, if treatment is considered in all these </w:t>
      </w:r>
      <w:proofErr w:type="gramStart"/>
      <w:r>
        <w:t>at risk</w:t>
      </w:r>
      <w:proofErr w:type="gramEnd"/>
      <w:r>
        <w:t xml:space="preserve"> patients,</w:t>
      </w:r>
    </w:p>
    <w:p w14:paraId="0B6A0C6C" w14:textId="77777777" w:rsidR="00DD5727" w:rsidRDefault="00DD5727" w:rsidP="00DD5727">
      <w:pPr>
        <w:spacing w:after="0"/>
      </w:pPr>
      <w:r>
        <w:t>advice from a cardiologist should be sought prior to initiation of treatment in order to determine</w:t>
      </w:r>
    </w:p>
    <w:p w14:paraId="7E6B3C1F" w14:textId="77777777" w:rsidR="00DD5727" w:rsidRDefault="00DD5727" w:rsidP="00DD5727">
      <w:pPr>
        <w:spacing w:after="0"/>
      </w:pPr>
      <w:r>
        <w:t>the most appropriate monitoring (at least overnight) for treatment initiation. These</w:t>
      </w:r>
    </w:p>
    <w:p w14:paraId="72EE723F" w14:textId="77777777" w:rsidR="00DD5727" w:rsidRDefault="00DD5727" w:rsidP="00DD5727">
      <w:pPr>
        <w:spacing w:after="0"/>
      </w:pPr>
      <w:r>
        <w:t>recommendations are reflected in the updated summary of product characteristics.</w:t>
      </w:r>
    </w:p>
    <w:p w14:paraId="40A1E295" w14:textId="77777777" w:rsidR="00DD5727" w:rsidRDefault="00DD5727" w:rsidP="00DD5727">
      <w:pPr>
        <w:spacing w:after="0"/>
      </w:pPr>
      <w:r>
        <w:t xml:space="preserve">• The Committee is of the opinion that </w:t>
      </w:r>
      <w:proofErr w:type="spellStart"/>
      <w:r>
        <w:t>Gilenya</w:t>
      </w:r>
      <w:proofErr w:type="spellEnd"/>
      <w:r>
        <w:t xml:space="preserve"> should not be used in patients of uncontrolled</w:t>
      </w:r>
    </w:p>
    <w:p w14:paraId="1D7E462C" w14:textId="77777777" w:rsidR="00DD5727" w:rsidRDefault="00DD5727" w:rsidP="00DD5727">
      <w:pPr>
        <w:spacing w:after="0"/>
      </w:pPr>
      <w:r>
        <w:t>hypertension until the hypertension is brought under control.</w:t>
      </w:r>
    </w:p>
    <w:p w14:paraId="1056C9DF" w14:textId="77777777" w:rsidR="00DD5727" w:rsidRDefault="00DD5727" w:rsidP="00DD5727">
      <w:pPr>
        <w:spacing w:after="0"/>
      </w:pPr>
      <w:r>
        <w:t xml:space="preserve">• The Committee, as a consequence, concluded that the benefit-risk balance of </w:t>
      </w:r>
      <w:proofErr w:type="spellStart"/>
      <w:r>
        <w:t>Gilenya</w:t>
      </w:r>
      <w:proofErr w:type="spellEnd"/>
      <w:r>
        <w:t xml:space="preserve"> in the</w:t>
      </w:r>
    </w:p>
    <w:p w14:paraId="6C8B3937" w14:textId="77777777" w:rsidR="00DD5727" w:rsidRDefault="00DD5727" w:rsidP="00DD5727">
      <w:pPr>
        <w:spacing w:after="0"/>
      </w:pPr>
      <w:r>
        <w:t>treatment of highly active relapsing remitting multiple sclerosis remains positive under normal</w:t>
      </w:r>
    </w:p>
    <w:p w14:paraId="341EDE94" w14:textId="77777777" w:rsidR="00DD5727" w:rsidRDefault="00DD5727" w:rsidP="00DD5727">
      <w:pPr>
        <w:spacing w:after="0"/>
      </w:pPr>
      <w:r>
        <w:t>conditions of use, subject to the conditions, warnings, changes to the product information,</w:t>
      </w:r>
    </w:p>
    <w:p w14:paraId="1F4DA750" w14:textId="77777777" w:rsidR="00DD5727" w:rsidRDefault="00DD5727" w:rsidP="00DD5727">
      <w:pPr>
        <w:spacing w:after="0"/>
      </w:pPr>
      <w:r>
        <w:t>additional pharmacovigilance activities and risk minimisation measures agreed.</w:t>
      </w:r>
    </w:p>
    <w:p w14:paraId="01186FD9" w14:textId="77777777" w:rsidR="00DD5727" w:rsidRDefault="00DD5727" w:rsidP="00DD5727">
      <w:pPr>
        <w:spacing w:after="0"/>
      </w:pPr>
      <w:r>
        <w:t>The CHMP has therefore recommended the variation to the terms of the marketing authorisation for</w:t>
      </w:r>
    </w:p>
    <w:p w14:paraId="2AC969DC" w14:textId="1D572CE1" w:rsidR="00DD5727" w:rsidRDefault="00DD5727" w:rsidP="00DD5727">
      <w:pPr>
        <w:spacing w:after="0"/>
      </w:pPr>
      <w:proofErr w:type="spellStart"/>
      <w:r>
        <w:t>Gilenya</w:t>
      </w:r>
      <w:proofErr w:type="spellEnd"/>
      <w:r>
        <w:t xml:space="preserve"> in accordance to the Product Information set out in annexes I, II and IIIB and update of Annex related to Article 127a”</w:t>
      </w:r>
    </w:p>
    <w:p w14:paraId="69A2C6D4" w14:textId="5604534C" w:rsidR="00DD5727" w:rsidRDefault="00DD5727" w:rsidP="00DD5727">
      <w:pPr>
        <w:spacing w:after="0"/>
      </w:pPr>
      <w:r>
        <w:t>--</w:t>
      </w:r>
    </w:p>
    <w:p w14:paraId="7EFC6066" w14:textId="7C451EE5" w:rsidR="00DD5727" w:rsidRDefault="00DD5727" w:rsidP="00DD5727">
      <w:pPr>
        <w:spacing w:after="0"/>
      </w:pPr>
    </w:p>
    <w:p w14:paraId="02BF27AA" w14:textId="2D0B447D" w:rsidR="00DD5727" w:rsidRDefault="007B3B4E" w:rsidP="00DD5727">
      <w:pPr>
        <w:spacing w:after="0"/>
      </w:pPr>
      <w:hyperlink r:id="rId13" w:history="1">
        <w:r w:rsidR="00DD5727" w:rsidRPr="002731D6">
          <w:rPr>
            <w:rStyle w:val="Hyperlink"/>
          </w:rPr>
          <w:t>https://www.ema.europa.eu/en/documents/scientific-conclusion/gilenya-h-c-2202-psuv-0023-epar-scientific-conclusions-grounds-recommending-variation-terms_en.pdf</w:t>
        </w:r>
      </w:hyperlink>
      <w:r w:rsidR="00DD5727">
        <w:t xml:space="preserve"> </w:t>
      </w:r>
    </w:p>
    <w:p w14:paraId="244F29DB" w14:textId="0C05841D" w:rsidR="00DD5727" w:rsidRDefault="00DD5727" w:rsidP="00DD5727">
      <w:pPr>
        <w:spacing w:after="0"/>
      </w:pPr>
    </w:p>
    <w:p w14:paraId="45E62AD4" w14:textId="77777777" w:rsidR="00DD5727" w:rsidRDefault="00DD5727" w:rsidP="00DD5727">
      <w:pPr>
        <w:spacing w:after="0"/>
      </w:pPr>
      <w:r>
        <w:t>Scientific conclusions</w:t>
      </w:r>
    </w:p>
    <w:p w14:paraId="294CE4D0" w14:textId="1122E36F" w:rsidR="00DD5727" w:rsidRDefault="00DD5727" w:rsidP="00DD5727">
      <w:pPr>
        <w:spacing w:after="0"/>
      </w:pPr>
      <w:r>
        <w:t xml:space="preserve">Taking into account the PRAC Assessment Report on the PSUR for </w:t>
      </w:r>
      <w:proofErr w:type="spellStart"/>
      <w:r>
        <w:t>Gilenya</w:t>
      </w:r>
      <w:proofErr w:type="spellEnd"/>
      <w:r>
        <w:t xml:space="preserve">, the scientific conclusions of PRAC are as follows: The adverse event profile in this Periodic Safety Update Report (PSUR) is consistent with the known safety profile of </w:t>
      </w:r>
      <w:proofErr w:type="spellStart"/>
      <w:r>
        <w:t>Gilenya</w:t>
      </w:r>
      <w:proofErr w:type="spellEnd"/>
      <w:r>
        <w:t xml:space="preserve"> to date. However new safety information emerged from this PSUR period in relation to disseminated herpes infection, interaction with carbamazepine and strong CYP450 inducers, cases of overdose:</w:t>
      </w:r>
    </w:p>
    <w:p w14:paraId="05F2C4A6" w14:textId="77777777" w:rsidR="00DD5727" w:rsidRDefault="00DD5727" w:rsidP="00DD5727">
      <w:pPr>
        <w:spacing w:after="0"/>
      </w:pPr>
      <w:r>
        <w:t>- A detailed review of cases of cutaneous Varicella Zoster Virus (VZV) dissemination and VZV</w:t>
      </w:r>
    </w:p>
    <w:p w14:paraId="4D6ED9EA" w14:textId="77777777" w:rsidR="00DD5727" w:rsidRDefault="00DD5727" w:rsidP="00DD5727">
      <w:pPr>
        <w:spacing w:after="0"/>
      </w:pPr>
      <w:r>
        <w:t>reactivation with central nervous system involvement resulted in identification of 35 cases of</w:t>
      </w:r>
    </w:p>
    <w:p w14:paraId="30AAB608" w14:textId="77777777" w:rsidR="00DD5727" w:rsidRDefault="00DD5727" w:rsidP="00DD5727">
      <w:pPr>
        <w:spacing w:after="0"/>
      </w:pPr>
      <w:r>
        <w:t>disseminated herpes viral infections as of October 2012. According to literature, the risk of</w:t>
      </w:r>
    </w:p>
    <w:p w14:paraId="20162A73" w14:textId="77777777" w:rsidR="00DD5727" w:rsidRDefault="00DD5727" w:rsidP="00DD5727">
      <w:pPr>
        <w:spacing w:after="0"/>
      </w:pPr>
      <w:r>
        <w:t xml:space="preserve">herpes viral infections </w:t>
      </w:r>
      <w:proofErr w:type="gramStart"/>
      <w:r>
        <w:t>increases</w:t>
      </w:r>
      <w:proofErr w:type="gramEnd"/>
      <w:r>
        <w:t xml:space="preserve"> with altered cell-mediated immune responses. From the PRAC</w:t>
      </w:r>
    </w:p>
    <w:p w14:paraId="0D673394" w14:textId="77777777" w:rsidR="00DD5727" w:rsidRDefault="00DD5727" w:rsidP="00DD5727">
      <w:pPr>
        <w:spacing w:after="0"/>
      </w:pPr>
      <w:r>
        <w:t>viewpoint, the risk of viral infection should be considered with fingolimod treatment due to its</w:t>
      </w:r>
    </w:p>
    <w:p w14:paraId="4B327847" w14:textId="77777777" w:rsidR="00DD5727" w:rsidRDefault="00DD5727" w:rsidP="00DD5727">
      <w:pPr>
        <w:spacing w:after="0"/>
      </w:pPr>
      <w:r>
        <w:t>mechanism of action. These disseminated herpes viral infections cases included: 1 case with</w:t>
      </w:r>
    </w:p>
    <w:p w14:paraId="6A3D0884" w14:textId="77777777" w:rsidR="00DD5727" w:rsidRDefault="00DD5727" w:rsidP="00DD5727">
      <w:pPr>
        <w:spacing w:after="0"/>
      </w:pPr>
      <w:r>
        <w:t>visceral involvement (pulmonary), 3 cases with brain or spinal cord involvement and</w:t>
      </w:r>
    </w:p>
    <w:p w14:paraId="427CB028" w14:textId="77777777" w:rsidR="00DD5727" w:rsidRDefault="00DD5727" w:rsidP="00DD5727">
      <w:pPr>
        <w:spacing w:after="0"/>
      </w:pPr>
      <w:r>
        <w:t xml:space="preserve">31 cutaneous </w:t>
      </w:r>
      <w:proofErr w:type="gramStart"/>
      <w:r>
        <w:t>dissemination</w:t>
      </w:r>
      <w:proofErr w:type="gramEnd"/>
      <w:r>
        <w:t xml:space="preserve"> (13 cases </w:t>
      </w:r>
      <w:proofErr w:type="spellStart"/>
      <w:r>
        <w:t>multidermatomal</w:t>
      </w:r>
      <w:proofErr w:type="spellEnd"/>
      <w:r>
        <w:t>, 3 cases with bilateral lesions, 10 cases</w:t>
      </w:r>
    </w:p>
    <w:p w14:paraId="447EC034" w14:textId="77777777" w:rsidR="00DD5727" w:rsidRDefault="00DD5727" w:rsidP="00DD5727">
      <w:pPr>
        <w:spacing w:after="0"/>
      </w:pPr>
      <w:r>
        <w:t>unilateral and 5 cases unspecified). An additional case of varicella disseminated infection leading</w:t>
      </w:r>
    </w:p>
    <w:p w14:paraId="4DA06448" w14:textId="77777777" w:rsidR="00DD5727" w:rsidRDefault="00DD5727" w:rsidP="00DD5727">
      <w:pPr>
        <w:spacing w:after="0"/>
      </w:pPr>
      <w:r>
        <w:t>to death was recently reported and occurred 6 months after fingolimod initiation. This case is</w:t>
      </w:r>
    </w:p>
    <w:p w14:paraId="1D33EC62" w14:textId="77777777" w:rsidR="00DD5727" w:rsidRDefault="00DD5727" w:rsidP="00DD5727">
      <w:pPr>
        <w:spacing w:after="0"/>
      </w:pPr>
      <w:r>
        <w:t>still under evaluation and should be discussed in the next PSUR. Furthermore, the PRAC also</w:t>
      </w:r>
    </w:p>
    <w:p w14:paraId="6C00375A" w14:textId="77777777" w:rsidR="00DD5727" w:rsidRDefault="00DD5727" w:rsidP="00DD5727">
      <w:pPr>
        <w:spacing w:after="0"/>
      </w:pPr>
      <w:r>
        <w:t>noted the recent follow up received after the Data Lock Point of this PSUR regarding the autopsy</w:t>
      </w:r>
    </w:p>
    <w:p w14:paraId="5F586A09" w14:textId="77777777" w:rsidR="00DD5727" w:rsidRDefault="00DD5727" w:rsidP="00DD5727">
      <w:pPr>
        <w:spacing w:after="0"/>
      </w:pPr>
      <w:r>
        <w:lastRenderedPageBreak/>
        <w:t xml:space="preserve">of the patient who died following an </w:t>
      </w:r>
      <w:proofErr w:type="spellStart"/>
      <w:r>
        <w:t>Haemophagocytic</w:t>
      </w:r>
      <w:proofErr w:type="spellEnd"/>
      <w:r>
        <w:t xml:space="preserve"> syndrome was compatible with a possible</w:t>
      </w:r>
    </w:p>
    <w:p w14:paraId="5DE8BC4D" w14:textId="77777777" w:rsidR="00DD5727" w:rsidRDefault="00DD5727" w:rsidP="00DD5727">
      <w:pPr>
        <w:spacing w:after="0"/>
      </w:pPr>
      <w:r>
        <w:t>origin of disseminated herpes infection. Overall, the PRAC considered that the Summary of</w:t>
      </w:r>
    </w:p>
    <w:p w14:paraId="448CB86E" w14:textId="77777777" w:rsidR="00DD5727" w:rsidRDefault="00DD5727" w:rsidP="00DD5727">
      <w:pPr>
        <w:spacing w:after="0"/>
      </w:pPr>
      <w:r>
        <w:t>Product Characteristics (SmPC) should be amended to reflect that some cases of disseminated</w:t>
      </w:r>
    </w:p>
    <w:p w14:paraId="658C215C" w14:textId="77777777" w:rsidR="00DD5727" w:rsidRDefault="00DD5727" w:rsidP="00DD5727">
      <w:pPr>
        <w:spacing w:after="0"/>
      </w:pPr>
      <w:r>
        <w:t>herpes infection, including fatal cases, have been reported in post-marketing and clinical trials</w:t>
      </w:r>
    </w:p>
    <w:p w14:paraId="04E087EA" w14:textId="2C7885AA" w:rsidR="00DD5727" w:rsidRDefault="00DD5727" w:rsidP="00DD5727">
      <w:pPr>
        <w:spacing w:after="0"/>
      </w:pPr>
      <w:r>
        <w:t>even at the 0.5 mg dose. - In healthy volunteers, concomitant treatment of carbamazepine, at the maximal dose of 600 mg twice daily, decreases the exposure of fingolimod and fingolimod-P by approximately 40%. No conclusions can be drawn on which nuclear receptors are mostly activated or which enzymes are specifically impacted in this interaction. Whilst the mechanism causing such reduction in exposure of fingolimod remains to be elucidated, the results of this study question the real role of CYP3A4 in fingolimod metabolism. On this basis, the PRAC recommended a revision of the SmPC information regarding concomitant administration of CYP450 inducers and to include a</w:t>
      </w:r>
    </w:p>
    <w:p w14:paraId="34CAD2EE" w14:textId="77777777" w:rsidR="00DD5727" w:rsidRDefault="00DD5727" w:rsidP="00DD5727">
      <w:pPr>
        <w:spacing w:after="0"/>
      </w:pPr>
      <w:r>
        <w:t>specific warning on possible reduced efficacy of fingolimod when combined to CYP450-inducing</w:t>
      </w:r>
    </w:p>
    <w:p w14:paraId="640AD3C5" w14:textId="77777777" w:rsidR="00DD5727" w:rsidRDefault="00DD5727" w:rsidP="00DD5727">
      <w:pPr>
        <w:spacing w:after="0"/>
      </w:pPr>
      <w:r>
        <w:t>stronger agents (</w:t>
      </w:r>
      <w:proofErr w:type="gramStart"/>
      <w:r>
        <w:t>i.e.</w:t>
      </w:r>
      <w:proofErr w:type="gramEnd"/>
      <w:r>
        <w:t xml:space="preserve"> rifampicin, phenytoin, phenobarbital, carbamazepine, efavirenz, St John’s</w:t>
      </w:r>
    </w:p>
    <w:p w14:paraId="3B26925A" w14:textId="56C88400" w:rsidR="00DD5727" w:rsidRDefault="00DD5727" w:rsidP="00DD5727">
      <w:pPr>
        <w:spacing w:after="0"/>
      </w:pPr>
      <w:r>
        <w:t>wort). - Cases of overdose have been reported. Thus, the PRAC also recommended deletion of the</w:t>
      </w:r>
    </w:p>
    <w:p w14:paraId="51C949E8" w14:textId="77777777" w:rsidR="00DD5727" w:rsidRDefault="00DD5727" w:rsidP="00DD5727">
      <w:pPr>
        <w:spacing w:after="0"/>
      </w:pPr>
      <w:r>
        <w:t>following sentence in section 4.9 of the SmPC: “No cases of overdose have been reported.”</w:t>
      </w:r>
    </w:p>
    <w:p w14:paraId="32252080" w14:textId="77777777" w:rsidR="00DD5727" w:rsidRDefault="00DD5727" w:rsidP="00DD5727">
      <w:pPr>
        <w:spacing w:after="0"/>
      </w:pPr>
      <w:r>
        <w:t>Therefore, in view of available data regarding disseminated herpes infection, interaction with</w:t>
      </w:r>
    </w:p>
    <w:p w14:paraId="3DF7420E" w14:textId="3461748D" w:rsidR="001316EF" w:rsidRDefault="00DD5727" w:rsidP="00DD5727">
      <w:pPr>
        <w:spacing w:after="0"/>
      </w:pPr>
      <w:r>
        <w:t>carbamazepine and strong CYP450 inducers and cases of overdose, the PRAC considered that changes to the Product Information were warranted. The next PSUR should be submitted in accordance with the requirements set out in the list of Union reference dates (EURD list) provided for under Article 107</w:t>
      </w:r>
      <w:proofErr w:type="gramStart"/>
      <w:r>
        <w:t>c(</w:t>
      </w:r>
      <w:proofErr w:type="gramEnd"/>
      <w:r>
        <w:t xml:space="preserve">7) of Directive 2001/83/EC and published on the European medicines web-portal. The CHMP agrees with the scientific conclusions made by the PRAC. Grounds recommending the variation to the terms of the Marketing Authorisation On the basis of the scientific conclusions for </w:t>
      </w:r>
      <w:proofErr w:type="spellStart"/>
      <w:r>
        <w:t>Gilenya</w:t>
      </w:r>
      <w:proofErr w:type="spellEnd"/>
      <w:r>
        <w:t>, the CHMP is of the opinion that the benefit-risk balance of the medicinal product containing the active substance FINGOLIMOD is favourable subject to the proposed changes to the product information”</w:t>
      </w:r>
    </w:p>
    <w:p w14:paraId="16A6A5F2" w14:textId="19C123A3" w:rsidR="001316EF" w:rsidRDefault="001316EF" w:rsidP="00DD5727">
      <w:pPr>
        <w:spacing w:after="0"/>
      </w:pPr>
      <w:r>
        <w:t>--</w:t>
      </w:r>
    </w:p>
    <w:p w14:paraId="2180D299" w14:textId="77777777" w:rsidR="009D6A10" w:rsidRDefault="009D6A10" w:rsidP="00DD5727">
      <w:pPr>
        <w:spacing w:after="0"/>
      </w:pPr>
    </w:p>
    <w:p w14:paraId="67445FD7" w14:textId="78047064" w:rsidR="001316EF" w:rsidRDefault="007B3B4E" w:rsidP="00DD5727">
      <w:pPr>
        <w:spacing w:after="0"/>
      </w:pPr>
      <w:hyperlink r:id="rId14" w:history="1">
        <w:r w:rsidR="001316EF" w:rsidRPr="002731D6">
          <w:rPr>
            <w:rStyle w:val="Hyperlink"/>
          </w:rPr>
          <w:t>https://www.ema.europa.eu/en/documents/scientific-conclusion/gilenya-h-c-psuv-0027-epar-scientific-conclusions-grounds-recommending-variation-terms-marketing_en.pdf</w:t>
        </w:r>
      </w:hyperlink>
      <w:r w:rsidR="001316EF">
        <w:t xml:space="preserve"> </w:t>
      </w:r>
    </w:p>
    <w:p w14:paraId="5D58AF74" w14:textId="2E4FCA30" w:rsidR="001316EF" w:rsidRDefault="001316EF" w:rsidP="00DD5727">
      <w:pPr>
        <w:spacing w:after="0"/>
      </w:pPr>
    </w:p>
    <w:p w14:paraId="1570DB8F" w14:textId="77777777" w:rsidR="001316EF" w:rsidRDefault="001316EF" w:rsidP="001316EF">
      <w:pPr>
        <w:spacing w:after="0"/>
      </w:pPr>
      <w:r>
        <w:t>“Scientific conclusions</w:t>
      </w:r>
    </w:p>
    <w:p w14:paraId="25A3BA8B" w14:textId="77777777" w:rsidR="001316EF" w:rsidRDefault="001316EF" w:rsidP="001316EF">
      <w:pPr>
        <w:spacing w:after="0"/>
      </w:pPr>
      <w:r>
        <w:t xml:space="preserve">Taking into account the PRAC Assessment Report on the PSUR for </w:t>
      </w:r>
      <w:proofErr w:type="spellStart"/>
      <w:r>
        <w:t>Gilenya</w:t>
      </w:r>
      <w:proofErr w:type="spellEnd"/>
      <w:r>
        <w:t>, the scientific conclusions</w:t>
      </w:r>
    </w:p>
    <w:p w14:paraId="31E4C580" w14:textId="73A11580" w:rsidR="001316EF" w:rsidRDefault="001316EF" w:rsidP="001316EF">
      <w:pPr>
        <w:spacing w:after="0"/>
      </w:pPr>
      <w:r>
        <w:t>of PRAC are as follows:</w:t>
      </w:r>
      <w:r w:rsidR="000234F6">
        <w:t xml:space="preserve"> </w:t>
      </w:r>
      <w:r>
        <w:t>The adverse event profile in this Periodic Safety Update Report (PSUR) is consistent with the known</w:t>
      </w:r>
      <w:r w:rsidR="000234F6">
        <w:t xml:space="preserve"> </w:t>
      </w:r>
      <w:r>
        <w:t xml:space="preserve">safety profile of </w:t>
      </w:r>
      <w:proofErr w:type="spellStart"/>
      <w:r>
        <w:t>Gilenya</w:t>
      </w:r>
      <w:proofErr w:type="spellEnd"/>
      <w:r>
        <w:t xml:space="preserve"> to date. However, new safety information emerged from this PSUR period in</w:t>
      </w:r>
      <w:r w:rsidR="000234F6">
        <w:t xml:space="preserve"> </w:t>
      </w:r>
      <w:r>
        <w:t>relation to hypersensitivity and rash, cancers (cervix and brain):</w:t>
      </w:r>
    </w:p>
    <w:p w14:paraId="30799E49" w14:textId="77777777" w:rsidR="001316EF" w:rsidRDefault="001316EF" w:rsidP="001316EF">
      <w:pPr>
        <w:spacing w:after="0"/>
      </w:pPr>
      <w:r>
        <w:t>- Following the results of the safety analysis requested by the PRAC on hypersensitivity, no cases of</w:t>
      </w:r>
    </w:p>
    <w:p w14:paraId="44BA27BE" w14:textId="77777777" w:rsidR="001316EF" w:rsidRDefault="001316EF" w:rsidP="001316EF">
      <w:pPr>
        <w:spacing w:after="0"/>
      </w:pPr>
      <w:r>
        <w:t>toxic epidermal necrolysis, Stevens Johnson syndrome or anaphylaxis were reported from clinical</w:t>
      </w:r>
    </w:p>
    <w:p w14:paraId="349379F8" w14:textId="77777777" w:rsidR="001316EF" w:rsidRDefault="001316EF" w:rsidP="001316EF">
      <w:pPr>
        <w:spacing w:after="0"/>
      </w:pPr>
      <w:r>
        <w:t>trials. Two non-serious cases of erythema multiform in the fingolimod 0.5mg group were reported.</w:t>
      </w:r>
    </w:p>
    <w:p w14:paraId="18BADFAF" w14:textId="77777777" w:rsidR="001316EF" w:rsidRDefault="001316EF" w:rsidP="001316EF">
      <w:pPr>
        <w:spacing w:after="0"/>
      </w:pPr>
      <w:r>
        <w:t>The incidence rate of hypersensitivity reactions in clinical trials was not significantly different from</w:t>
      </w:r>
    </w:p>
    <w:p w14:paraId="2E101946" w14:textId="373E2E3B" w:rsidR="001316EF" w:rsidRDefault="001316EF" w:rsidP="001316EF">
      <w:pPr>
        <w:spacing w:after="0"/>
      </w:pPr>
      <w:r>
        <w:t>placebo. However, cumulatively, 802 cases describing “hypersensitivity” were reported. Among these</w:t>
      </w:r>
      <w:r w:rsidR="000234F6">
        <w:t xml:space="preserve"> </w:t>
      </w:r>
      <w:r>
        <w:t>cases, 784 cases were excluded from further analysis by the Marketing Authorisation Holder (MAH)</w:t>
      </w:r>
      <w:r w:rsidR="000234F6">
        <w:t xml:space="preserve"> </w:t>
      </w:r>
      <w:r>
        <w:t>because these cases were not considered “noteworthy” according to the following criteria: 1) did not</w:t>
      </w:r>
      <w:r w:rsidR="000234F6">
        <w:t xml:space="preserve"> </w:t>
      </w:r>
      <w:r>
        <w:t xml:space="preserve">have positive </w:t>
      </w:r>
      <w:proofErr w:type="spellStart"/>
      <w:r>
        <w:t>dechallenge</w:t>
      </w:r>
      <w:proofErr w:type="spellEnd"/>
      <w:r>
        <w:t>/rechallenge, 2) had reported confounders, 3) did not require intervention,</w:t>
      </w:r>
      <w:r w:rsidR="000234F6">
        <w:t xml:space="preserve"> </w:t>
      </w:r>
      <w:r>
        <w:t>and/or 4) were not documented. Based on these criteria, the PRAC considered that a causal</w:t>
      </w:r>
      <w:r w:rsidR="000234F6">
        <w:t xml:space="preserve"> </w:t>
      </w:r>
      <w:r>
        <w:t xml:space="preserve">relationship with </w:t>
      </w:r>
      <w:proofErr w:type="spellStart"/>
      <w:r>
        <w:t>Gilenya</w:t>
      </w:r>
      <w:proofErr w:type="spellEnd"/>
      <w:r>
        <w:t xml:space="preserve"> could not be totally ruled out, especially for the non-documented cases.</w:t>
      </w:r>
      <w:r w:rsidR="000234F6">
        <w:t xml:space="preserve"> </w:t>
      </w:r>
      <w:r>
        <w:t>Considering that a clear causal relationship was established for the remaining 18 cases (all positive</w:t>
      </w:r>
      <w:r w:rsidR="000234F6">
        <w:t xml:space="preserve"> </w:t>
      </w:r>
      <w:proofErr w:type="spellStart"/>
      <w:r>
        <w:t>dechallenges</w:t>
      </w:r>
      <w:proofErr w:type="spellEnd"/>
      <w:r>
        <w:t xml:space="preserve"> or positive rechallenges) and taking into account the number of reported cases</w:t>
      </w:r>
    </w:p>
    <w:p w14:paraId="3AA64BE6" w14:textId="77777777" w:rsidR="001316EF" w:rsidRDefault="001316EF" w:rsidP="001316EF">
      <w:pPr>
        <w:spacing w:after="0"/>
      </w:pPr>
      <w:r>
        <w:t>(</w:t>
      </w:r>
      <w:proofErr w:type="gramStart"/>
      <w:r>
        <w:t>including</w:t>
      </w:r>
      <w:proofErr w:type="gramEnd"/>
      <w:r>
        <w:t xml:space="preserve"> one bullous erythema multiforme coded as Stevens-Johnson syndrome), the PRAC</w:t>
      </w:r>
    </w:p>
    <w:p w14:paraId="18BA9C9C" w14:textId="77777777" w:rsidR="001316EF" w:rsidRDefault="001316EF" w:rsidP="001316EF">
      <w:pPr>
        <w:spacing w:after="0"/>
      </w:pPr>
      <w:r>
        <w:lastRenderedPageBreak/>
        <w:t xml:space="preserve">concluded that “hypersensitivity” and “rash” should be added as new adverse reactions of </w:t>
      </w:r>
      <w:proofErr w:type="spellStart"/>
      <w:r>
        <w:t>Gilenya</w:t>
      </w:r>
      <w:proofErr w:type="spellEnd"/>
      <w:r>
        <w:t>.</w:t>
      </w:r>
    </w:p>
    <w:p w14:paraId="4A16CF48" w14:textId="77777777" w:rsidR="001316EF" w:rsidRDefault="001316EF" w:rsidP="001316EF">
      <w:pPr>
        <w:spacing w:after="0"/>
      </w:pPr>
      <w:r>
        <w:t>Therefore, in view of available data regarding hypersensitivity, the PRAC considered that changes to</w:t>
      </w:r>
    </w:p>
    <w:p w14:paraId="57121469" w14:textId="77777777" w:rsidR="000234F6" w:rsidRDefault="001316EF" w:rsidP="001316EF">
      <w:pPr>
        <w:spacing w:after="0"/>
      </w:pPr>
      <w:r>
        <w:t xml:space="preserve">the product information </w:t>
      </w:r>
      <w:proofErr w:type="gramStart"/>
      <w:r>
        <w:t>were</w:t>
      </w:r>
      <w:proofErr w:type="gramEnd"/>
      <w:r>
        <w:t xml:space="preserve"> warranted.</w:t>
      </w:r>
      <w:r w:rsidR="000234F6">
        <w:t xml:space="preserve"> </w:t>
      </w:r>
    </w:p>
    <w:p w14:paraId="6B77069F" w14:textId="4370BD11" w:rsidR="001316EF" w:rsidRDefault="001316EF" w:rsidP="001316EF">
      <w:pPr>
        <w:spacing w:after="0"/>
      </w:pPr>
      <w:r>
        <w:t>- Regarding the review of other malignant neoplasms (potential risk), 15 cases of cervix cancer and 7</w:t>
      </w:r>
    </w:p>
    <w:p w14:paraId="5045F54D" w14:textId="77777777" w:rsidR="001316EF" w:rsidRDefault="001316EF" w:rsidP="001316EF">
      <w:pPr>
        <w:spacing w:after="0"/>
      </w:pPr>
      <w:r>
        <w:t>cases of brain cancer have been reported cumulatively (6 were reported during the present PSUR</w:t>
      </w:r>
    </w:p>
    <w:p w14:paraId="26E06869" w14:textId="77777777" w:rsidR="001316EF" w:rsidRDefault="001316EF" w:rsidP="001316EF">
      <w:pPr>
        <w:spacing w:after="0"/>
      </w:pPr>
      <w:r>
        <w:t>period). Limited information has been presented in this PSUR, particularly for four of the cases of</w:t>
      </w:r>
    </w:p>
    <w:p w14:paraId="0A124B08" w14:textId="77777777" w:rsidR="001316EF" w:rsidRDefault="001316EF" w:rsidP="001316EF">
      <w:pPr>
        <w:spacing w:after="0"/>
      </w:pPr>
      <w:r>
        <w:t xml:space="preserve">brain cancers, thus not allowing a proper causality assessment between </w:t>
      </w:r>
      <w:proofErr w:type="spellStart"/>
      <w:r>
        <w:t>Gilenya</w:t>
      </w:r>
      <w:proofErr w:type="spellEnd"/>
      <w:r>
        <w:t xml:space="preserve"> and the reported</w:t>
      </w:r>
    </w:p>
    <w:p w14:paraId="7AD51EEF" w14:textId="77777777" w:rsidR="001316EF" w:rsidRDefault="001316EF" w:rsidP="001316EF">
      <w:pPr>
        <w:spacing w:after="0"/>
      </w:pPr>
      <w:r>
        <w:t>cases. The MAH is requested to improve the quality of data regarding cervix cancer and brain cancer</w:t>
      </w:r>
    </w:p>
    <w:p w14:paraId="5D10BD65" w14:textId="77777777" w:rsidR="001316EF" w:rsidRDefault="001316EF" w:rsidP="001316EF">
      <w:pPr>
        <w:spacing w:after="0"/>
      </w:pPr>
      <w:r>
        <w:t>in the next PSUR. A comprehensive clinical assessment of all cervix cancer (taking into account</w:t>
      </w:r>
    </w:p>
    <w:p w14:paraId="663EAE38" w14:textId="77777777" w:rsidR="001316EF" w:rsidRDefault="001316EF" w:rsidP="001316EF">
      <w:pPr>
        <w:spacing w:after="0"/>
      </w:pPr>
      <w:r>
        <w:t>epidemiological data in multiple sclerosis patients and general population) and all brain cancer cases</w:t>
      </w:r>
    </w:p>
    <w:p w14:paraId="0DAE9514" w14:textId="77777777" w:rsidR="001316EF" w:rsidRDefault="001316EF" w:rsidP="001316EF">
      <w:pPr>
        <w:spacing w:after="0"/>
      </w:pPr>
      <w:r>
        <w:t>should be provided in the next PSUR (covering PSUR period and cumulatively).</w:t>
      </w:r>
    </w:p>
    <w:p w14:paraId="7D99E7F8" w14:textId="77777777" w:rsidR="001316EF" w:rsidRDefault="001316EF" w:rsidP="001316EF">
      <w:pPr>
        <w:spacing w:after="0"/>
      </w:pPr>
      <w:r>
        <w:t>In addition, the PRAC noted the following:</w:t>
      </w:r>
    </w:p>
    <w:p w14:paraId="14650EC8" w14:textId="77777777" w:rsidR="001316EF" w:rsidRDefault="001316EF" w:rsidP="001316EF">
      <w:pPr>
        <w:spacing w:after="0"/>
      </w:pPr>
      <w:r>
        <w:t>- Regarding infections (identified risk), 1250 cases of infections have been reported during the</w:t>
      </w:r>
    </w:p>
    <w:p w14:paraId="03F4C189" w14:textId="77777777" w:rsidR="001316EF" w:rsidRDefault="001316EF" w:rsidP="001316EF">
      <w:pPr>
        <w:spacing w:after="0"/>
      </w:pPr>
      <w:r>
        <w:t>reporting period (the proportion of infection among all the reported cases in this current period is</w:t>
      </w:r>
    </w:p>
    <w:p w14:paraId="5FB1650E" w14:textId="77777777" w:rsidR="001316EF" w:rsidRDefault="001316EF" w:rsidP="001316EF">
      <w:pPr>
        <w:spacing w:after="0"/>
      </w:pPr>
      <w:r>
        <w:t>around 13.1%). Due to the seriousness of the infections reported with fingolimod, these events</w:t>
      </w:r>
    </w:p>
    <w:p w14:paraId="337EC472" w14:textId="77777777" w:rsidR="001316EF" w:rsidRDefault="001316EF" w:rsidP="001316EF">
      <w:pPr>
        <w:spacing w:after="0"/>
      </w:pPr>
      <w:r>
        <w:t>should be closely monitored.</w:t>
      </w:r>
    </w:p>
    <w:p w14:paraId="5F6F30CF" w14:textId="43FC7A5D" w:rsidR="001316EF" w:rsidRDefault="001316EF" w:rsidP="001316EF">
      <w:pPr>
        <w:spacing w:after="0"/>
      </w:pPr>
      <w:r>
        <w:t>- Twelve cases of Progressive Multifocal Leukoencephalopathy (PML) were reported including 5 during</w:t>
      </w:r>
      <w:r w:rsidR="000234F6">
        <w:t xml:space="preserve"> </w:t>
      </w:r>
      <w:r>
        <w:t>the current period. In the last PSUR, 10 cases were reported cumulatively. Taking into account the</w:t>
      </w:r>
      <w:r w:rsidR="000234F6">
        <w:t xml:space="preserve"> </w:t>
      </w:r>
      <w:r>
        <w:t>case reported in the late breaking information, there are at least 13 cases reported cumulatively.</w:t>
      </w:r>
      <w:r w:rsidR="000234F6">
        <w:t xml:space="preserve"> </w:t>
      </w:r>
      <w:r>
        <w:t>These events should be closely monitored and a thorough review of all PML cases should be provided</w:t>
      </w:r>
      <w:r w:rsidR="000234F6">
        <w:t xml:space="preserve"> </w:t>
      </w:r>
      <w:r>
        <w:t>in the next PSUR.</w:t>
      </w:r>
    </w:p>
    <w:p w14:paraId="47B05D6D" w14:textId="77777777" w:rsidR="001316EF" w:rsidRDefault="001316EF" w:rsidP="001316EF">
      <w:pPr>
        <w:spacing w:after="0"/>
      </w:pPr>
      <w:r>
        <w:t>- Thrombocytopenia (including immune thrombocytopenic purpura) and pancytopenia were signals</w:t>
      </w:r>
    </w:p>
    <w:p w14:paraId="53FCEB79" w14:textId="77777777" w:rsidR="001316EF" w:rsidRDefault="001316EF" w:rsidP="001316EF">
      <w:pPr>
        <w:spacing w:after="0"/>
      </w:pPr>
      <w:r>
        <w:t>under review by the MAH. A safety review was performed by the MAH and reported 115 cases of</w:t>
      </w:r>
    </w:p>
    <w:p w14:paraId="10D8BDBB" w14:textId="3D735EBC" w:rsidR="001316EF" w:rsidRDefault="001316EF" w:rsidP="001316EF">
      <w:pPr>
        <w:spacing w:after="0"/>
      </w:pPr>
      <w:r>
        <w:t>thrombocytopenia. Moreover 7 cases of immune thrombocytopenic purpura were reported. Since 11</w:t>
      </w:r>
      <w:r w:rsidR="000234F6">
        <w:t xml:space="preserve"> </w:t>
      </w:r>
      <w:r>
        <w:t xml:space="preserve">cases of thrombocytopenia had positive </w:t>
      </w:r>
      <w:proofErr w:type="spellStart"/>
      <w:r>
        <w:t>dechallenges</w:t>
      </w:r>
      <w:proofErr w:type="spellEnd"/>
      <w:r>
        <w:t xml:space="preserve"> including one patient with a positive</w:t>
      </w:r>
    </w:p>
    <w:p w14:paraId="196CF51F" w14:textId="2B7AA0FC" w:rsidR="001316EF" w:rsidRDefault="001316EF" w:rsidP="001316EF">
      <w:pPr>
        <w:spacing w:after="0"/>
      </w:pPr>
      <w:proofErr w:type="spellStart"/>
      <w:r>
        <w:t>Gilenya</w:t>
      </w:r>
      <w:proofErr w:type="spellEnd"/>
      <w:r w:rsidR="000234F6">
        <w:t xml:space="preserve"> </w:t>
      </w:r>
      <w:r>
        <w:t>EMA/405985/2014 Page 3/3</w:t>
      </w:r>
      <w:r w:rsidR="000234F6">
        <w:t xml:space="preserve"> </w:t>
      </w:r>
      <w:r>
        <w:t xml:space="preserve">rechallenge, a potential causal relationship between </w:t>
      </w:r>
      <w:proofErr w:type="spellStart"/>
      <w:r>
        <w:t>Gilenya</w:t>
      </w:r>
      <w:proofErr w:type="spellEnd"/>
      <w:r>
        <w:t xml:space="preserve"> and </w:t>
      </w:r>
      <w:proofErr w:type="spellStart"/>
      <w:r>
        <w:t>thrompocytopenia</w:t>
      </w:r>
      <w:proofErr w:type="spellEnd"/>
      <w:r>
        <w:t xml:space="preserve"> could not be</w:t>
      </w:r>
      <w:r w:rsidR="000234F6">
        <w:t xml:space="preserve"> </w:t>
      </w:r>
      <w:r>
        <w:t>excluded. Regarding pancytopenia, 33 cases were cumulatively reported. The majority of these cases</w:t>
      </w:r>
      <w:r w:rsidR="000234F6">
        <w:t xml:space="preserve"> </w:t>
      </w:r>
      <w:r>
        <w:t>did not have sufficient information to allow a proper causality assessment. However, one case had a</w:t>
      </w:r>
      <w:r w:rsidR="000234F6">
        <w:t xml:space="preserve"> </w:t>
      </w:r>
      <w:r>
        <w:t xml:space="preserve">positive </w:t>
      </w:r>
      <w:proofErr w:type="spellStart"/>
      <w:r>
        <w:t>dechallenge</w:t>
      </w:r>
      <w:proofErr w:type="spellEnd"/>
      <w:r>
        <w:t>. Based on these data, the PRAC considered necessary to keep these signals</w:t>
      </w:r>
      <w:r w:rsidR="000234F6">
        <w:t xml:space="preserve"> </w:t>
      </w:r>
      <w:r>
        <w:t>under evaluation in the next PSUR for further characterisation.</w:t>
      </w:r>
    </w:p>
    <w:p w14:paraId="04045AB7" w14:textId="77777777" w:rsidR="001316EF" w:rsidRDefault="001316EF" w:rsidP="001316EF">
      <w:pPr>
        <w:spacing w:after="0"/>
      </w:pPr>
      <w:r>
        <w:t>- Regarding the review of leukopenia/lymphopenia (identified risk), the percentage of cases reporting</w:t>
      </w:r>
    </w:p>
    <w:p w14:paraId="3618D7A7" w14:textId="77777777" w:rsidR="001316EF" w:rsidRDefault="001316EF" w:rsidP="001316EF">
      <w:pPr>
        <w:spacing w:after="0"/>
      </w:pPr>
      <w:r>
        <w:t xml:space="preserve">concomitantly leukopenia and lymphopenia (any) </w:t>
      </w:r>
      <w:proofErr w:type="gramStart"/>
      <w:r>
        <w:t>was</w:t>
      </w:r>
      <w:proofErr w:type="gramEnd"/>
      <w:r>
        <w:t xml:space="preserve"> found higher for more serious types of</w:t>
      </w:r>
    </w:p>
    <w:p w14:paraId="6FF41AA1" w14:textId="7A87BE82" w:rsidR="001316EF" w:rsidRDefault="001316EF" w:rsidP="001316EF">
      <w:pPr>
        <w:spacing w:after="0"/>
      </w:pPr>
      <w:r>
        <w:t>infections (sepsis) when compared with the percentage of infections overall. Based on this finding, the</w:t>
      </w:r>
      <w:r w:rsidR="000234F6">
        <w:t xml:space="preserve"> </w:t>
      </w:r>
      <w:r>
        <w:t>MAH should discuss whether an update of the Summary of Product Characteristics (</w:t>
      </w:r>
      <w:proofErr w:type="spellStart"/>
      <w:r>
        <w:t>e.g</w:t>
      </w:r>
      <w:proofErr w:type="spellEnd"/>
      <w:r>
        <w:t xml:space="preserve"> additional</w:t>
      </w:r>
      <w:r w:rsidR="000234F6">
        <w:t xml:space="preserve"> </w:t>
      </w:r>
      <w:r>
        <w:t>warning for the prescribers on the higher risk of serious infections) should be considered in the next</w:t>
      </w:r>
      <w:r w:rsidR="004B1557">
        <w:t xml:space="preserve"> </w:t>
      </w:r>
      <w:r>
        <w:t>PSUR.</w:t>
      </w:r>
    </w:p>
    <w:p w14:paraId="02AE879B" w14:textId="77777777" w:rsidR="001316EF" w:rsidRDefault="001316EF" w:rsidP="001316EF">
      <w:pPr>
        <w:spacing w:after="0"/>
      </w:pPr>
      <w:r>
        <w:t>- The number of skin cancer (potential risk) to date and the duration of follow-up, remain relatively</w:t>
      </w:r>
    </w:p>
    <w:p w14:paraId="7C94F52F" w14:textId="77777777" w:rsidR="001316EF" w:rsidRDefault="001316EF" w:rsidP="001316EF">
      <w:pPr>
        <w:spacing w:after="0"/>
      </w:pPr>
      <w:r>
        <w:t>limited and do not permit to draw definitive conclusions on any potential long-term risk for this type</w:t>
      </w:r>
    </w:p>
    <w:p w14:paraId="798F0EE6" w14:textId="77777777" w:rsidR="001316EF" w:rsidRDefault="001316EF" w:rsidP="001316EF">
      <w:pPr>
        <w:spacing w:after="0"/>
      </w:pPr>
      <w:r>
        <w:t>of malignancy with fingolimod in particular for exposure greater than 2 years. The risk for basal cell</w:t>
      </w:r>
    </w:p>
    <w:p w14:paraId="003B8405" w14:textId="77777777" w:rsidR="001316EF" w:rsidRDefault="001316EF" w:rsidP="001316EF">
      <w:pPr>
        <w:spacing w:after="0"/>
      </w:pPr>
      <w:r>
        <w:t>carcinoma (BCC) increases with age. According to some published data, the incidence of BCC in the</w:t>
      </w:r>
    </w:p>
    <w:p w14:paraId="545C4B6B" w14:textId="1F7BD1E2" w:rsidR="001316EF" w:rsidRDefault="001316EF" w:rsidP="001316EF">
      <w:pPr>
        <w:spacing w:after="0"/>
      </w:pPr>
      <w:r>
        <w:t>age group 30-59 years is rather low compared to older population. In addition, based on the available</w:t>
      </w:r>
      <w:r w:rsidR="004B1557">
        <w:t xml:space="preserve"> </w:t>
      </w:r>
      <w:r>
        <w:t>PSUR data, the majority of the patients diagnosed with melanoma were in the age group 30-49 years.</w:t>
      </w:r>
      <w:r w:rsidR="004B1557">
        <w:t xml:space="preserve"> </w:t>
      </w:r>
      <w:r>
        <w:t>In order to further characterise this potential risk, the MAH is requested to provide cumulative</w:t>
      </w:r>
      <w:r w:rsidR="004B1557">
        <w:t xml:space="preserve"> </w:t>
      </w:r>
      <w:r>
        <w:t>information in which age groups skin cancer occurred and match this to the general multiple sclerosis</w:t>
      </w:r>
      <w:r w:rsidR="004B1557">
        <w:t xml:space="preserve"> </w:t>
      </w:r>
      <w:r>
        <w:t>population in the next PSUR.</w:t>
      </w:r>
      <w:r w:rsidR="004B1557">
        <w:t xml:space="preserve"> </w:t>
      </w:r>
      <w:r>
        <w:t>The next PSUR should be submitted in accordance with the requirements set out in the list of Union</w:t>
      </w:r>
      <w:r w:rsidR="004B1557">
        <w:t xml:space="preserve"> </w:t>
      </w:r>
      <w:r>
        <w:t xml:space="preserve">reference dates (EURD list) provided for under </w:t>
      </w:r>
      <w:r>
        <w:lastRenderedPageBreak/>
        <w:t>Article 107</w:t>
      </w:r>
      <w:proofErr w:type="gramStart"/>
      <w:r>
        <w:t>c(</w:t>
      </w:r>
      <w:proofErr w:type="gramEnd"/>
      <w:r>
        <w:t>7) of Directive 2001/83/EC and published</w:t>
      </w:r>
      <w:r w:rsidR="004B1557">
        <w:t xml:space="preserve"> </w:t>
      </w:r>
      <w:r>
        <w:t>on the European medicines web-portal. As requested by the MAH, the PRAC agreed that the frequency</w:t>
      </w:r>
      <w:r w:rsidR="004B1557">
        <w:t xml:space="preserve"> </w:t>
      </w:r>
      <w:r>
        <w:t>of the PSUR submission should thereafter be revised to a yearly cycle.</w:t>
      </w:r>
      <w:r w:rsidR="004B1557">
        <w:t xml:space="preserve"> </w:t>
      </w:r>
      <w:r>
        <w:t>The PRAC considered that the Risk Management Plan (RMP) is acceptable. In addition, revisions (</w:t>
      </w:r>
      <w:proofErr w:type="spellStart"/>
      <w:r>
        <w:t>e.g</w:t>
      </w:r>
      <w:proofErr w:type="spellEnd"/>
      <w:r w:rsidR="004B1557">
        <w:t xml:space="preserve"> </w:t>
      </w:r>
      <w:r>
        <w:t>upgrade of hypersensitivity from potential to identified risk) were recommended to be taken into</w:t>
      </w:r>
      <w:r w:rsidR="004B1557">
        <w:t xml:space="preserve"> </w:t>
      </w:r>
      <w:r>
        <w:t>account at the next RMP update.</w:t>
      </w:r>
      <w:r w:rsidR="004B1557">
        <w:t xml:space="preserve"> </w:t>
      </w:r>
      <w:r>
        <w:t>The CHMP agrees with the scientific conclusions made by the PRAC.</w:t>
      </w:r>
      <w:r w:rsidR="004B1557">
        <w:t xml:space="preserve"> </w:t>
      </w:r>
      <w:r>
        <w:t>Grounds recommending the variation to the terms of the Marketing Authorisation</w:t>
      </w:r>
      <w:r w:rsidR="004B1557">
        <w:t xml:space="preserve">. </w:t>
      </w:r>
      <w:r>
        <w:t xml:space="preserve">On the basis of the scientific conclusions for </w:t>
      </w:r>
      <w:proofErr w:type="spellStart"/>
      <w:r>
        <w:t>Gilenya</w:t>
      </w:r>
      <w:proofErr w:type="spellEnd"/>
      <w:r>
        <w:t>, the CHMP is of the opinion that the benefit-risk</w:t>
      </w:r>
      <w:r w:rsidR="004B1557">
        <w:t xml:space="preserve"> </w:t>
      </w:r>
      <w:r>
        <w:t>balance of the medicinal product containing the active substance FINGOLIMOD is favourable subject</w:t>
      </w:r>
      <w:r w:rsidR="004B1557">
        <w:t xml:space="preserve"> </w:t>
      </w:r>
      <w:r>
        <w:t>to the proposed changes to the product information.</w:t>
      </w:r>
    </w:p>
    <w:p w14:paraId="6AF2B618" w14:textId="661BFBC4" w:rsidR="006419A2" w:rsidRDefault="001316EF" w:rsidP="001316EF">
      <w:pPr>
        <w:spacing w:after="0"/>
      </w:pPr>
      <w:r>
        <w:t>The CHMP recommends that the terms of the Marketing Authorisation(s) should be varied.”</w:t>
      </w:r>
    </w:p>
    <w:p w14:paraId="58F89604" w14:textId="3B79CA97" w:rsidR="006419A2" w:rsidRDefault="006419A2" w:rsidP="001316EF">
      <w:pPr>
        <w:spacing w:after="0"/>
      </w:pPr>
      <w:r>
        <w:t>--</w:t>
      </w:r>
    </w:p>
    <w:p w14:paraId="597B3B7F" w14:textId="125AD038" w:rsidR="00CC7A21" w:rsidRDefault="00CC7A21" w:rsidP="001316EF">
      <w:pPr>
        <w:spacing w:after="0"/>
      </w:pPr>
    </w:p>
    <w:p w14:paraId="40F2AFE9" w14:textId="4A5DCD1C" w:rsidR="00CC7A21" w:rsidRDefault="007B3B4E" w:rsidP="001316EF">
      <w:pPr>
        <w:spacing w:after="0"/>
      </w:pPr>
      <w:hyperlink r:id="rId15" w:history="1">
        <w:r w:rsidR="006419A2" w:rsidRPr="002731D6">
          <w:rPr>
            <w:rStyle w:val="Hyperlink"/>
          </w:rPr>
          <w:t>https://www.ema.europa.eu/en/documents/scientific-conclusion/gilenya-h-c-psusa-00001393-201502-epar-scientific-conclusions-grounds-recommending-variation-terms_en.pdf</w:t>
        </w:r>
      </w:hyperlink>
      <w:r w:rsidR="006419A2">
        <w:t xml:space="preserve"> </w:t>
      </w:r>
    </w:p>
    <w:p w14:paraId="0B92853D" w14:textId="0F0E3561" w:rsidR="006419A2" w:rsidRDefault="006419A2" w:rsidP="001316EF">
      <w:pPr>
        <w:spacing w:after="0"/>
      </w:pPr>
    </w:p>
    <w:p w14:paraId="5FC7ADC8" w14:textId="77777777" w:rsidR="006419A2" w:rsidRDefault="006419A2" w:rsidP="006419A2">
      <w:pPr>
        <w:spacing w:after="0"/>
      </w:pPr>
      <w:r>
        <w:t>Scientific conclusions</w:t>
      </w:r>
    </w:p>
    <w:p w14:paraId="0A62AC2C" w14:textId="77777777" w:rsidR="006419A2" w:rsidRDefault="006419A2" w:rsidP="006419A2">
      <w:pPr>
        <w:spacing w:after="0"/>
      </w:pPr>
      <w:r>
        <w:t>Taking into account the PRAC Assessment Report on the PSUR for, the scientific conclusions of CHMP</w:t>
      </w:r>
    </w:p>
    <w:p w14:paraId="0673D7A6" w14:textId="77777777" w:rsidR="006419A2" w:rsidRDefault="006419A2" w:rsidP="006419A2">
      <w:pPr>
        <w:spacing w:after="0"/>
      </w:pPr>
      <w:r>
        <w:t>are as follows:</w:t>
      </w:r>
    </w:p>
    <w:p w14:paraId="2524AF9B" w14:textId="77777777" w:rsidR="006419A2" w:rsidRDefault="006419A2" w:rsidP="006419A2">
      <w:pPr>
        <w:spacing w:after="0"/>
      </w:pPr>
      <w:r>
        <w:t>During this PSUR (EU PSUR 7) the MAH discussed risks related to fingolimod, and presented the data</w:t>
      </w:r>
    </w:p>
    <w:p w14:paraId="5D9189D6" w14:textId="024EE746" w:rsidR="006419A2" w:rsidRDefault="006419A2" w:rsidP="006419A2">
      <w:pPr>
        <w:spacing w:after="0"/>
      </w:pPr>
      <w:r>
        <w:t>from spontaneous reporting, notably for skin cancers, infection risks including opportunistic infections</w:t>
      </w:r>
      <w:r w:rsidR="009D6A10">
        <w:t xml:space="preserve"> </w:t>
      </w:r>
      <w:r>
        <w:t>and hypersensitivity. Especially vigilance for skin lesions is warranted and a dermatological assessment</w:t>
      </w:r>
      <w:r w:rsidR="009D6A10">
        <w:t xml:space="preserve"> </w:t>
      </w:r>
      <w:r>
        <w:t>is needed in case suspicious lesions are detected. In addition, cases of infections with opportunistic</w:t>
      </w:r>
      <w:r w:rsidR="009D6A10">
        <w:t xml:space="preserve"> </w:t>
      </w:r>
      <w:r>
        <w:t>pathogens such as viral or bacterial have been reported and this information should be made available</w:t>
      </w:r>
      <w:r w:rsidR="009D6A10">
        <w:t xml:space="preserve"> </w:t>
      </w:r>
      <w:r>
        <w:t>to healthcare professionals. Upon treatment initiation hypersensitivity reactions including rash,</w:t>
      </w:r>
      <w:r w:rsidR="009D6A10">
        <w:t xml:space="preserve"> </w:t>
      </w:r>
      <w:r>
        <w:t>urticaria and angioedema have been reported. The MAH proposed wording for amendments to the</w:t>
      </w:r>
      <w:r w:rsidR="009D6A10">
        <w:t xml:space="preserve"> </w:t>
      </w:r>
      <w:r>
        <w:t xml:space="preserve">product information in relation to all the </w:t>
      </w:r>
      <w:proofErr w:type="gramStart"/>
      <w:r>
        <w:t>above mentioned</w:t>
      </w:r>
      <w:proofErr w:type="gramEnd"/>
      <w:r>
        <w:t xml:space="preserve"> cases.</w:t>
      </w:r>
    </w:p>
    <w:p w14:paraId="472485C4" w14:textId="4A7464E6" w:rsidR="006419A2" w:rsidRDefault="006419A2" w:rsidP="006419A2">
      <w:pPr>
        <w:spacing w:after="0"/>
      </w:pPr>
      <w:r>
        <w:t xml:space="preserve">In </w:t>
      </w:r>
      <w:proofErr w:type="gramStart"/>
      <w:r>
        <w:t>addition</w:t>
      </w:r>
      <w:proofErr w:type="gramEnd"/>
      <w:r>
        <w:t xml:space="preserve"> the MAH submitted data from spontaneous reporting for adverse events including cases of</w:t>
      </w:r>
      <w:r w:rsidR="009D6A10">
        <w:t xml:space="preserve"> </w:t>
      </w:r>
      <w:r>
        <w:t>lymphoma, T-wave inversion, peripheral oedema and nausea. After review of this data the PRAC</w:t>
      </w:r>
    </w:p>
    <w:p w14:paraId="5F2C7D4E" w14:textId="77777777" w:rsidR="006419A2" w:rsidRDefault="006419A2" w:rsidP="006419A2">
      <w:pPr>
        <w:spacing w:after="0"/>
      </w:pPr>
      <w:r>
        <w:t>considered that information should also be presented in the list of adverse events in the product</w:t>
      </w:r>
    </w:p>
    <w:p w14:paraId="2A9D626A" w14:textId="60A528B3" w:rsidR="006419A2" w:rsidRDefault="006419A2" w:rsidP="006419A2">
      <w:pPr>
        <w:spacing w:after="0"/>
      </w:pPr>
      <w:r>
        <w:t>information to increase vigilance by the healthcare professionals. Especially for lymphoma a statement</w:t>
      </w:r>
      <w:r w:rsidR="009D6A10">
        <w:t xml:space="preserve"> </w:t>
      </w:r>
      <w:r>
        <w:t>is already included under section 4.8 of the summary of product characteristics; this preferred term</w:t>
      </w:r>
      <w:r w:rsidR="009D6A10">
        <w:t xml:space="preserve"> </w:t>
      </w:r>
      <w:r>
        <w:t>should also be listed in the ADR table in the same section, and in the relevant section of the package</w:t>
      </w:r>
      <w:r w:rsidR="009D6A10">
        <w:t xml:space="preserve"> </w:t>
      </w:r>
      <w:r>
        <w:t>leaflet.</w:t>
      </w:r>
      <w:r w:rsidR="009D6A10">
        <w:t xml:space="preserve"> </w:t>
      </w:r>
      <w:r>
        <w:t>In conclusion and in view of all available data, the PRAC considered that</w:t>
      </w:r>
      <w:r w:rsidR="009D6A10">
        <w:t xml:space="preserve"> </w:t>
      </w:r>
      <w:r>
        <w:t>changes to the product</w:t>
      </w:r>
      <w:r w:rsidR="009D6A10">
        <w:t xml:space="preserve"> </w:t>
      </w:r>
      <w:r>
        <w:t>information were warranted.</w:t>
      </w:r>
      <w:r w:rsidR="009D6A10">
        <w:t xml:space="preserve"> </w:t>
      </w:r>
      <w:r>
        <w:t>The CHMP agrees with the scientific conclusions made by the PRAC.</w:t>
      </w:r>
      <w:r w:rsidR="009D6A10">
        <w:t xml:space="preserve"> </w:t>
      </w:r>
      <w:r>
        <w:t>Grounds recommending the variation to the terms of the Marketing Authorisation</w:t>
      </w:r>
      <w:r w:rsidR="009D6A10">
        <w:t xml:space="preserve">. </w:t>
      </w:r>
      <w:r>
        <w:t>On the basis of the scientific conclusions for fingolimod the CHMP is of the opinion that the benefit-</w:t>
      </w:r>
      <w:r w:rsidR="009D6A10">
        <w:t xml:space="preserve"> </w:t>
      </w:r>
      <w:r>
        <w:t>risk balance of the medicinal product(s) containing fingolimod is favourable subject to the proposed</w:t>
      </w:r>
      <w:r w:rsidR="009D6A10">
        <w:t xml:space="preserve"> </w:t>
      </w:r>
      <w:r>
        <w:t>changes to the product information</w:t>
      </w:r>
      <w:r w:rsidR="009D6A10">
        <w:t xml:space="preserve">. </w:t>
      </w:r>
      <w:r>
        <w:t>The CHMP recommends that the terms of the Marketing Authorisation(s) should be varied”</w:t>
      </w:r>
    </w:p>
    <w:p w14:paraId="31B62DB3" w14:textId="77777777" w:rsidR="006419A2" w:rsidRDefault="006419A2" w:rsidP="006419A2">
      <w:pPr>
        <w:spacing w:after="0"/>
      </w:pPr>
      <w:r>
        <w:t>--</w:t>
      </w:r>
    </w:p>
    <w:p w14:paraId="75BE0EB0" w14:textId="77777777" w:rsidR="006419A2" w:rsidRDefault="006419A2" w:rsidP="006419A2">
      <w:pPr>
        <w:spacing w:after="0"/>
      </w:pPr>
    </w:p>
    <w:p w14:paraId="34C33EFD" w14:textId="77777777" w:rsidR="006419A2" w:rsidRDefault="007B3B4E" w:rsidP="006419A2">
      <w:pPr>
        <w:spacing w:after="0"/>
      </w:pPr>
      <w:hyperlink r:id="rId16" w:history="1">
        <w:r w:rsidR="006419A2" w:rsidRPr="002731D6">
          <w:rPr>
            <w:rStyle w:val="Hyperlink"/>
          </w:rPr>
          <w:t>https://www.ema.europa.eu/en/documents/scientific-conclusion/gilenya-h-c-psusa-00001393-201602-epar-scientific-conclusions-grounds-variation-terms-marketing_en.pdf</w:t>
        </w:r>
      </w:hyperlink>
      <w:r w:rsidR="006419A2">
        <w:t xml:space="preserve"> </w:t>
      </w:r>
    </w:p>
    <w:p w14:paraId="575F3649" w14:textId="77777777" w:rsidR="006419A2" w:rsidRDefault="006419A2" w:rsidP="006419A2">
      <w:pPr>
        <w:spacing w:after="0"/>
      </w:pPr>
    </w:p>
    <w:p w14:paraId="552CDF4D" w14:textId="77777777" w:rsidR="006419A2" w:rsidRDefault="006419A2" w:rsidP="006419A2">
      <w:pPr>
        <w:spacing w:after="0"/>
      </w:pPr>
      <w:r>
        <w:t>“Scientific conclusions</w:t>
      </w:r>
    </w:p>
    <w:p w14:paraId="357F8289" w14:textId="77777777" w:rsidR="006419A2" w:rsidRDefault="006419A2" w:rsidP="006419A2">
      <w:pPr>
        <w:spacing w:after="0"/>
      </w:pPr>
      <w:r>
        <w:t>Taking into account the PRAC Assessment Report on the PSUR(s) for fingolimod, the scientific</w:t>
      </w:r>
    </w:p>
    <w:p w14:paraId="77BF9B61" w14:textId="77777777" w:rsidR="006419A2" w:rsidRDefault="006419A2" w:rsidP="006419A2">
      <w:pPr>
        <w:spacing w:after="0"/>
      </w:pPr>
      <w:r>
        <w:t>conclusions of CHMP are as follows:</w:t>
      </w:r>
    </w:p>
    <w:p w14:paraId="0CB8E1BC" w14:textId="77777777" w:rsidR="006419A2" w:rsidRDefault="006419A2" w:rsidP="006419A2">
      <w:pPr>
        <w:spacing w:after="0"/>
      </w:pPr>
      <w:r>
        <w:t>305 cases of thrombocytopenia (180 serious and 125 non serious) were reported cumulatively and</w:t>
      </w:r>
    </w:p>
    <w:p w14:paraId="2BB8A8C3" w14:textId="77777777" w:rsidR="006419A2" w:rsidRDefault="006419A2" w:rsidP="006419A2">
      <w:pPr>
        <w:spacing w:after="0"/>
      </w:pPr>
      <w:r>
        <w:lastRenderedPageBreak/>
        <w:t>80 cases (41 serious and 39 non serious) during the reporting interval. Among the 180 serious</w:t>
      </w:r>
    </w:p>
    <w:p w14:paraId="662F14E8" w14:textId="77777777" w:rsidR="006419A2" w:rsidRDefault="006419A2" w:rsidP="006419A2">
      <w:pPr>
        <w:spacing w:after="0"/>
      </w:pPr>
      <w:r>
        <w:t xml:space="preserve">cases of thrombocytopenia cumulatively the MAH identified 31 Grade 4 among the cases </w:t>
      </w:r>
      <w:proofErr w:type="gramStart"/>
      <w:r>
        <w:t>where</w:t>
      </w:r>
      <w:proofErr w:type="gramEnd"/>
    </w:p>
    <w:p w14:paraId="374200D7" w14:textId="77777777" w:rsidR="006419A2" w:rsidRDefault="006419A2" w:rsidP="006419A2">
      <w:pPr>
        <w:spacing w:after="0"/>
      </w:pPr>
      <w:r>
        <w:t xml:space="preserve">laboratory value is reported. 24 cases of positive </w:t>
      </w:r>
      <w:proofErr w:type="spellStart"/>
      <w:r>
        <w:t>dechallenge</w:t>
      </w:r>
      <w:proofErr w:type="spellEnd"/>
      <w:r>
        <w:t xml:space="preserve"> were reported cumulatively including 5</w:t>
      </w:r>
    </w:p>
    <w:p w14:paraId="7A271BE8" w14:textId="77777777" w:rsidR="006419A2" w:rsidRDefault="006419A2" w:rsidP="006419A2">
      <w:pPr>
        <w:spacing w:after="0"/>
      </w:pPr>
      <w:r>
        <w:t>new cases in this PSUR period. 4 cases of rechallenge were reported cumulatively.</w:t>
      </w:r>
    </w:p>
    <w:p w14:paraId="49669163" w14:textId="77777777" w:rsidR="006419A2" w:rsidRDefault="006419A2" w:rsidP="006419A2">
      <w:pPr>
        <w:spacing w:after="0"/>
      </w:pPr>
      <w:r>
        <w:t>3 cases of Kaposi’s sarcoma were reported cumulatively 16 months, 15 months and 3.5 years after</w:t>
      </w:r>
    </w:p>
    <w:p w14:paraId="7EE45169" w14:textId="77777777" w:rsidR="006419A2" w:rsidRDefault="006419A2" w:rsidP="006419A2">
      <w:pPr>
        <w:spacing w:after="0"/>
      </w:pPr>
      <w:r>
        <w:t>the start of fingolimod. Another case was also reported following the literature assessment after</w:t>
      </w:r>
    </w:p>
    <w:p w14:paraId="1814302B" w14:textId="77777777" w:rsidR="006419A2" w:rsidRDefault="006419A2" w:rsidP="006419A2">
      <w:pPr>
        <w:spacing w:after="0"/>
      </w:pPr>
      <w:r>
        <w:t>the Data Lock Point of this PSUR on fingolimod treatment. All the 4 cases were biopsy confirmed and</w:t>
      </w:r>
    </w:p>
    <w:p w14:paraId="5988A162" w14:textId="77777777" w:rsidR="006419A2" w:rsidRDefault="006419A2" w:rsidP="006419A2">
      <w:pPr>
        <w:spacing w:after="0"/>
      </w:pPr>
      <w:r>
        <w:t>occurred &gt; 1 year (16 months, 15 months, 3.5 years and 4 years) after the start of fingolimod,</w:t>
      </w:r>
    </w:p>
    <w:p w14:paraId="69A41C8B" w14:textId="77777777" w:rsidR="006419A2" w:rsidRDefault="006419A2" w:rsidP="006419A2">
      <w:pPr>
        <w:spacing w:after="0"/>
      </w:pPr>
      <w:r>
        <w:t>with no history of immunosuppressive agent, HIV negative serology. In those 4 cases there are no</w:t>
      </w:r>
    </w:p>
    <w:p w14:paraId="57E7E892" w14:textId="77777777" w:rsidR="006419A2" w:rsidRDefault="006419A2" w:rsidP="006419A2">
      <w:pPr>
        <w:spacing w:after="0"/>
      </w:pPr>
      <w:r>
        <w:t>other aetiology reported to explain Kaposi’s sarcoma except fingolimod exposure. Even if the</w:t>
      </w:r>
    </w:p>
    <w:p w14:paraId="76D20E57" w14:textId="77777777" w:rsidR="006419A2" w:rsidRDefault="006419A2" w:rsidP="006419A2">
      <w:pPr>
        <w:spacing w:after="0"/>
      </w:pPr>
      <w:r>
        <w:t>time to onset is short, the chronology is compatible with a relationship between Kaposi’s</w:t>
      </w:r>
    </w:p>
    <w:p w14:paraId="737D0F9F" w14:textId="77777777" w:rsidR="006419A2" w:rsidRDefault="006419A2" w:rsidP="006419A2">
      <w:pPr>
        <w:spacing w:after="0"/>
      </w:pPr>
      <w:r>
        <w:t>sarcoma and fingolimod treatment. It is important to consider that healthcare professionals should</w:t>
      </w:r>
    </w:p>
    <w:p w14:paraId="1FCD35E2" w14:textId="77777777" w:rsidR="006419A2" w:rsidRDefault="006419A2" w:rsidP="006419A2">
      <w:pPr>
        <w:spacing w:after="0"/>
      </w:pPr>
      <w:r>
        <w:t>have this information to correctly monitor their patient on fingolimod therapy. 4 cases of Kaposi’s</w:t>
      </w:r>
    </w:p>
    <w:p w14:paraId="1E98E0F7" w14:textId="77777777" w:rsidR="006419A2" w:rsidRDefault="006419A2" w:rsidP="006419A2">
      <w:pPr>
        <w:spacing w:after="0"/>
      </w:pPr>
      <w:r>
        <w:t>sarcoma represent already a signal and Kaposi’s sarcoma should be added to the SmPC.</w:t>
      </w:r>
    </w:p>
    <w:p w14:paraId="69FB309B" w14:textId="77777777" w:rsidR="006419A2" w:rsidRDefault="006419A2" w:rsidP="006419A2">
      <w:pPr>
        <w:spacing w:after="0"/>
      </w:pPr>
      <w:r>
        <w:t>Therefore, in view of the data presented in the reviewed PSUR, the PRAC considered that changes to</w:t>
      </w:r>
    </w:p>
    <w:p w14:paraId="64849215" w14:textId="77777777" w:rsidR="006419A2" w:rsidRDefault="006419A2" w:rsidP="006419A2">
      <w:pPr>
        <w:spacing w:after="0"/>
      </w:pPr>
      <w:r>
        <w:t>the product information of medicinal products containing fingolimod were warranted.</w:t>
      </w:r>
    </w:p>
    <w:p w14:paraId="4CE51F6C" w14:textId="77777777" w:rsidR="006419A2" w:rsidRDefault="006419A2" w:rsidP="006419A2">
      <w:pPr>
        <w:spacing w:after="0"/>
      </w:pPr>
      <w:r>
        <w:t>The CHMP agrees with the scientific conclusions made by the PRAC.</w:t>
      </w:r>
    </w:p>
    <w:p w14:paraId="0CF34C60" w14:textId="77777777" w:rsidR="006419A2" w:rsidRDefault="006419A2" w:rsidP="006419A2">
      <w:pPr>
        <w:spacing w:after="0"/>
      </w:pPr>
      <w:r>
        <w:t>Grounds for the variation to the terms of the marketing authorisation(s)</w:t>
      </w:r>
    </w:p>
    <w:p w14:paraId="7A4BF65A" w14:textId="0914B199" w:rsidR="006419A2" w:rsidRDefault="006419A2" w:rsidP="006419A2">
      <w:pPr>
        <w:spacing w:after="0"/>
      </w:pPr>
      <w:r>
        <w:t>On the basis of the scientific conclusions for fingolimod the CHMP is of the opinion that the benefit</w:t>
      </w:r>
      <w:r w:rsidR="009D6A10">
        <w:t>-</w:t>
      </w:r>
      <w:r>
        <w:t>risk</w:t>
      </w:r>
      <w:r w:rsidR="009D6A10">
        <w:t xml:space="preserve"> </w:t>
      </w:r>
      <w:r>
        <w:t>balance of the medicinal product(s) containing fingolimod is unchanged subject to the proposed</w:t>
      </w:r>
    </w:p>
    <w:p w14:paraId="2529A0D0" w14:textId="259E9B0A" w:rsidR="006419A2" w:rsidRDefault="006419A2" w:rsidP="006419A2">
      <w:pPr>
        <w:spacing w:after="0"/>
      </w:pPr>
      <w:r>
        <w:t>changes to the product information</w:t>
      </w:r>
      <w:r w:rsidR="009D6A10">
        <w:t xml:space="preserve">. </w:t>
      </w:r>
      <w:r>
        <w:t xml:space="preserve">The CHMP recommends that the terms of the marketing authorisation(s) should be varied.” </w:t>
      </w:r>
    </w:p>
    <w:p w14:paraId="4B5355D7" w14:textId="06A1E317" w:rsidR="006419A2" w:rsidRDefault="006419A2" w:rsidP="006419A2">
      <w:pPr>
        <w:spacing w:after="0"/>
      </w:pPr>
      <w:r>
        <w:t>--</w:t>
      </w:r>
    </w:p>
    <w:p w14:paraId="0B91A514" w14:textId="6D769AD3" w:rsidR="006419A2" w:rsidRDefault="006419A2" w:rsidP="006419A2">
      <w:pPr>
        <w:spacing w:after="0"/>
      </w:pPr>
    </w:p>
    <w:p w14:paraId="7A1E7115" w14:textId="00CD500C" w:rsidR="006419A2" w:rsidRDefault="007B3B4E" w:rsidP="006419A2">
      <w:pPr>
        <w:spacing w:after="0"/>
      </w:pPr>
      <w:hyperlink r:id="rId17" w:history="1">
        <w:r w:rsidR="006419A2" w:rsidRPr="002731D6">
          <w:rPr>
            <w:rStyle w:val="Hyperlink"/>
          </w:rPr>
          <w:t>https://www.ema.europa.eu/en/documents/scientific-conclusion/gilenya-h-c-psusa-00001393-201702-epar-scientific-conclusions-grounds-variation-terms-marketing_en.pdf</w:t>
        </w:r>
      </w:hyperlink>
      <w:r w:rsidR="006419A2">
        <w:t xml:space="preserve"> </w:t>
      </w:r>
    </w:p>
    <w:p w14:paraId="5F8495D4" w14:textId="7C74CC11" w:rsidR="006419A2" w:rsidRDefault="006419A2" w:rsidP="006419A2">
      <w:pPr>
        <w:spacing w:after="0"/>
      </w:pPr>
    </w:p>
    <w:p w14:paraId="50B278C4" w14:textId="77777777" w:rsidR="006419A2" w:rsidRDefault="006419A2" w:rsidP="006419A2">
      <w:pPr>
        <w:spacing w:after="0"/>
      </w:pPr>
      <w:r>
        <w:t>Scientific conclusions</w:t>
      </w:r>
    </w:p>
    <w:p w14:paraId="66A44CDF" w14:textId="4D30C43A" w:rsidR="006419A2" w:rsidRDefault="006419A2" w:rsidP="006419A2">
      <w:pPr>
        <w:spacing w:after="0"/>
      </w:pPr>
      <w:r>
        <w:t>Taking into account the PRAC Assessment Report on the PSUR(s) for fingolimod, the scientific conclusions of</w:t>
      </w:r>
      <w:r w:rsidR="000573EA">
        <w:t xml:space="preserve"> </w:t>
      </w:r>
      <w:r>
        <w:t>CHMP are as follows:</w:t>
      </w:r>
    </w:p>
    <w:p w14:paraId="309B5E9D" w14:textId="066C509A" w:rsidR="006419A2" w:rsidRDefault="006419A2" w:rsidP="006419A2">
      <w:pPr>
        <w:spacing w:after="0"/>
      </w:pPr>
      <w:r>
        <w:t>Based on 48 cases (50 events), including 9 fatal cases, a potential link between fingolimod treatment and</w:t>
      </w:r>
      <w:r w:rsidR="000573EA">
        <w:t xml:space="preserve"> </w:t>
      </w:r>
      <w:r>
        <w:t>polymorphic ventricular arrhythmia (PVA) incidence was identified. In 17 cases, temporal relationship is</w:t>
      </w:r>
      <w:r w:rsidR="000573EA">
        <w:t xml:space="preserve"> </w:t>
      </w:r>
      <w:r>
        <w:t>strongly suggested. On the other hand, analysis of fatal cases showed potential risk factors such as cardiac</w:t>
      </w:r>
      <w:r w:rsidR="000573EA">
        <w:t xml:space="preserve"> </w:t>
      </w:r>
      <w:r>
        <w:t>underlying conditions. Overall, the PRAC recommended that the contra-indications section of the SmPC</w:t>
      </w:r>
      <w:r w:rsidR="000573EA">
        <w:t xml:space="preserve"> </w:t>
      </w:r>
      <w:r>
        <w:t>should be updated to include cardiac underlying conditions.</w:t>
      </w:r>
    </w:p>
    <w:p w14:paraId="553B155F" w14:textId="7A1A3122" w:rsidR="006419A2" w:rsidRDefault="006419A2" w:rsidP="006419A2">
      <w:pPr>
        <w:spacing w:after="0"/>
      </w:pPr>
      <w:r>
        <w:t>Based on a number of cases of malignant melanoma (MM), Squamous cell carcinoma (SCC) and Merkel cell</w:t>
      </w:r>
      <w:r w:rsidR="000573EA">
        <w:t xml:space="preserve"> </w:t>
      </w:r>
      <w:r>
        <w:t>carcinoma, the PRAC recommended that a warning should be added to sections 4.4 and 4.8 of the SmPC to</w:t>
      </w:r>
      <w:r w:rsidR="000573EA">
        <w:t xml:space="preserve"> </w:t>
      </w:r>
      <w:r>
        <w:t>alert prescribers of the possible occurrence of Merkel cell carcinoma, SCC and MM, including cautions</w:t>
      </w:r>
      <w:r w:rsidR="000573EA">
        <w:t xml:space="preserve"> </w:t>
      </w:r>
      <w:r>
        <w:t>regarding exposure to sunlight without protection, regarding concomitant phototherapy with UV-B-radiation</w:t>
      </w:r>
      <w:r w:rsidR="000573EA">
        <w:t xml:space="preserve"> </w:t>
      </w:r>
      <w:r>
        <w:t>or PUVA-photochemotherapy and specific screening of the skin to be performed every six to 12 months.</w:t>
      </w:r>
      <w:r w:rsidR="000573EA">
        <w:t xml:space="preserve"> </w:t>
      </w:r>
      <w:r>
        <w:t xml:space="preserve">Following the number of fatal </w:t>
      </w:r>
      <w:proofErr w:type="gramStart"/>
      <w:r>
        <w:t>outcome</w:t>
      </w:r>
      <w:proofErr w:type="gramEnd"/>
      <w:r>
        <w:t xml:space="preserve"> of cryptococcal meningitis (30 cases cumulatively including 9 with</w:t>
      </w:r>
      <w:r w:rsidR="000573EA">
        <w:t xml:space="preserve"> </w:t>
      </w:r>
      <w:r>
        <w:t>fatal outcome), the PRAC recommended that the SmPC should be updated to inform on the occurrence of</w:t>
      </w:r>
      <w:r w:rsidR="000573EA">
        <w:t xml:space="preserve"> </w:t>
      </w:r>
      <w:r>
        <w:t>fatal cases.</w:t>
      </w:r>
      <w:r w:rsidR="000573EA">
        <w:t xml:space="preserve"> </w:t>
      </w:r>
      <w:r>
        <w:t>Infections, in particular opportunistic infection and cancer risk are due to the immunosuppressive effect of</w:t>
      </w:r>
      <w:r w:rsidR="000573EA">
        <w:t xml:space="preserve"> </w:t>
      </w:r>
      <w:r>
        <w:t>fingolimod, therefore the PRAC recommended that a warning should be included in section 4.4 of the SmPC</w:t>
      </w:r>
    </w:p>
    <w:p w14:paraId="168A3EF5" w14:textId="08D5774A" w:rsidR="006419A2" w:rsidRDefault="006419A2" w:rsidP="006419A2">
      <w:pPr>
        <w:spacing w:after="0"/>
      </w:pPr>
      <w:r>
        <w:t xml:space="preserve">to inform of the consequences of the immunosuppressive effect and </w:t>
      </w:r>
      <w:proofErr w:type="gramStart"/>
      <w:r>
        <w:t>that increased risks</w:t>
      </w:r>
      <w:proofErr w:type="gramEnd"/>
      <w:r>
        <w:t xml:space="preserve"> appear to be related</w:t>
      </w:r>
      <w:r w:rsidR="000573EA">
        <w:t xml:space="preserve"> </w:t>
      </w:r>
      <w:r>
        <w:t>to long term treatment with fingolimod and in patients that have history of</w:t>
      </w:r>
      <w:r w:rsidR="000573EA">
        <w:t xml:space="preserve"> </w:t>
      </w:r>
      <w:r>
        <w:t>immunosuppressive treatments</w:t>
      </w:r>
      <w:r w:rsidR="000573EA">
        <w:t xml:space="preserve"> </w:t>
      </w:r>
      <w:r>
        <w:t xml:space="preserve">or other risk factors that could increase this risk (for example, sun </w:t>
      </w:r>
      <w:r>
        <w:lastRenderedPageBreak/>
        <w:t>exposure, known active infections or</w:t>
      </w:r>
      <w:r w:rsidR="000573EA">
        <w:t xml:space="preserve"> </w:t>
      </w:r>
      <w:r>
        <w:t>malignancies).</w:t>
      </w:r>
      <w:r w:rsidR="000573EA">
        <w:t xml:space="preserve"> </w:t>
      </w:r>
      <w:r>
        <w:t>The CHMP agrees with the scientific conclusions made by the PRAC.</w:t>
      </w:r>
      <w:r w:rsidR="000573EA">
        <w:t xml:space="preserve"> </w:t>
      </w:r>
      <w:r>
        <w:t>Grounds for the variation to the terms of the marketing authorisation(s)</w:t>
      </w:r>
    </w:p>
    <w:p w14:paraId="0E380C66" w14:textId="7298C58B" w:rsidR="006419A2" w:rsidRDefault="006419A2" w:rsidP="006419A2">
      <w:pPr>
        <w:spacing w:after="0"/>
      </w:pPr>
      <w:r>
        <w:t>On the basis of the scientific conclusions for fingolimod the CHMP is of the opinion that the benefit-risk</w:t>
      </w:r>
      <w:r w:rsidR="000573EA">
        <w:t>-</w:t>
      </w:r>
      <w:r>
        <w:t>balance of the medicinal product(s) containing fingolimod is unchanged subject to the proposed changes to</w:t>
      </w:r>
      <w:r w:rsidR="000573EA">
        <w:t xml:space="preserve"> </w:t>
      </w:r>
      <w:r>
        <w:t>the product information.</w:t>
      </w:r>
      <w:r w:rsidR="000573EA">
        <w:t xml:space="preserve"> </w:t>
      </w:r>
      <w:r>
        <w:t>The CHMP recommends that the terms of the marketing authorisation(s) should be varied.”</w:t>
      </w:r>
    </w:p>
    <w:p w14:paraId="1B4EE28C" w14:textId="49F2D415" w:rsidR="006419A2" w:rsidRDefault="006419A2" w:rsidP="006419A2">
      <w:pPr>
        <w:spacing w:after="0"/>
      </w:pPr>
      <w:r>
        <w:t>--</w:t>
      </w:r>
    </w:p>
    <w:p w14:paraId="03BF0ABD" w14:textId="530BB7B8" w:rsidR="006419A2" w:rsidRDefault="006419A2" w:rsidP="006419A2">
      <w:pPr>
        <w:spacing w:after="0"/>
      </w:pPr>
    </w:p>
    <w:p w14:paraId="0393FD7E" w14:textId="56E20E7D" w:rsidR="006419A2" w:rsidRDefault="007B3B4E" w:rsidP="006419A2">
      <w:pPr>
        <w:spacing w:after="0"/>
      </w:pPr>
      <w:hyperlink r:id="rId18" w:history="1">
        <w:r w:rsidR="006419A2" w:rsidRPr="002731D6">
          <w:rPr>
            <w:rStyle w:val="Hyperlink"/>
          </w:rPr>
          <w:t>https://www.ema.europa.eu/en/documents/scientific-conclusion/gilenya-h-c-psusa-00001393-201802-epar-scientific-conclusions-grounds-variation-terms-marketing_en.pdf</w:t>
        </w:r>
      </w:hyperlink>
      <w:r w:rsidR="006419A2">
        <w:t xml:space="preserve"> </w:t>
      </w:r>
    </w:p>
    <w:p w14:paraId="3952C194" w14:textId="36D92162" w:rsidR="006419A2" w:rsidRDefault="006419A2" w:rsidP="006419A2">
      <w:pPr>
        <w:spacing w:after="0"/>
      </w:pPr>
    </w:p>
    <w:p w14:paraId="75B5EFB4" w14:textId="77777777" w:rsidR="006419A2" w:rsidRDefault="006419A2" w:rsidP="006419A2">
      <w:pPr>
        <w:spacing w:after="0"/>
      </w:pPr>
      <w:r>
        <w:t>Scientific conclusions</w:t>
      </w:r>
    </w:p>
    <w:p w14:paraId="470F6A21" w14:textId="32DB5C37" w:rsidR="006419A2" w:rsidRDefault="006419A2" w:rsidP="006419A2">
      <w:pPr>
        <w:spacing w:after="0"/>
      </w:pPr>
      <w:r>
        <w:t>Taking into account the PRAC Assessment Report on the PSUR(s) for fingolimod, the scientific conclusions of</w:t>
      </w:r>
      <w:r w:rsidR="000573EA">
        <w:t xml:space="preserve"> </w:t>
      </w:r>
      <w:r>
        <w:t>CHMP are as follows:</w:t>
      </w:r>
      <w:r w:rsidR="00DD0770">
        <w:t xml:space="preserve"> </w:t>
      </w:r>
      <w:r>
        <w:t>A cumulative review of the post-marketing cases identified five cases reporting events of interest [myalgia</w:t>
      </w:r>
      <w:r w:rsidR="00DD0770">
        <w:t xml:space="preserve"> </w:t>
      </w:r>
      <w:r>
        <w:t>(n=3) and arthralgia (n=3)], which were considered noteworthy. Three of these five cases were reported</w:t>
      </w:r>
      <w:r w:rsidR="00DD0770">
        <w:t xml:space="preserve"> </w:t>
      </w:r>
      <w:r>
        <w:t>with positive re-challenge for the events of interest and the other two cases were reported with positive</w:t>
      </w:r>
      <w:r w:rsidR="00DD0770">
        <w:t xml:space="preserve"> </w:t>
      </w:r>
      <w:r>
        <w:t>de-challenge without any plausible alternative explanation for the event of interest. Additionally, 38 cases,</w:t>
      </w:r>
      <w:r w:rsidR="00DD0770">
        <w:t xml:space="preserve"> </w:t>
      </w:r>
      <w:r>
        <w:t>reporting 41 events of interest [myalgia (n=15) and arthralgia (n=26)], were reported with positive</w:t>
      </w:r>
      <w:r w:rsidR="00DD0770">
        <w:t xml:space="preserve"> </w:t>
      </w:r>
      <w:r>
        <w:t>de-challenge; however, there was limited information about medical history and/or concomitant medication</w:t>
      </w:r>
      <w:r w:rsidR="00DD0770">
        <w:t xml:space="preserve"> </w:t>
      </w:r>
      <w:r>
        <w:t>in these 38 cases. Based on the noteworthy cases identified in post-marketing, ‘myalgia’ and ‘arthralgia’ will</w:t>
      </w:r>
    </w:p>
    <w:p w14:paraId="35673C98" w14:textId="77777777" w:rsidR="006419A2" w:rsidRDefault="006419A2" w:rsidP="006419A2">
      <w:pPr>
        <w:spacing w:after="0"/>
      </w:pPr>
      <w:r>
        <w:t>be added to the section of the adverse drug reactions in the SmPC and in the Package leaflet.</w:t>
      </w:r>
    </w:p>
    <w:p w14:paraId="5243B520" w14:textId="7B49A31C" w:rsidR="006419A2" w:rsidRDefault="006419A2" w:rsidP="006419A2">
      <w:pPr>
        <w:spacing w:after="0"/>
      </w:pPr>
      <w:r>
        <w:t>Regarding malignant neoplasms including skin and malignant lymphoma, there is a trend for an increased</w:t>
      </w:r>
      <w:r w:rsidR="00DD0770">
        <w:t xml:space="preserve"> </w:t>
      </w:r>
      <w:r>
        <w:t xml:space="preserve">incidence rate (3.3% for the first period </w:t>
      </w:r>
      <w:proofErr w:type="spellStart"/>
      <w:r>
        <w:t>then</w:t>
      </w:r>
      <w:proofErr w:type="spellEnd"/>
      <w:r>
        <w:t xml:space="preserve"> 4.04% for the current period). Lymphoma represented 9.3%</w:t>
      </w:r>
      <w:r w:rsidR="00DD0770">
        <w:t xml:space="preserve"> </w:t>
      </w:r>
      <w:r>
        <w:t xml:space="preserve">(cumulative data) to 10.6% (current period). Lymphomas are heterogeneous but, the number of </w:t>
      </w:r>
      <w:proofErr w:type="gramStart"/>
      <w:r>
        <w:t>mycosis</w:t>
      </w:r>
      <w:proofErr w:type="gramEnd"/>
      <w:r w:rsidR="00DD0770">
        <w:t xml:space="preserve"> </w:t>
      </w:r>
      <w:r>
        <w:t>fungoides increased during the reporting interval (5 cases). At least 2 published cases of T cell lymphoma</w:t>
      </w:r>
      <w:r w:rsidR="00DD0770">
        <w:t xml:space="preserve"> </w:t>
      </w:r>
      <w:r>
        <w:t>reported regression of the cutaneous lesions after fingolimod discontinuation, suggesting strong fingolimod</w:t>
      </w:r>
      <w:r w:rsidR="00DD0770">
        <w:t xml:space="preserve"> </w:t>
      </w:r>
      <w:r>
        <w:t>causality and immunosuppressant effect. Based on the increasing frequency of mycosis fungoides, the event</w:t>
      </w:r>
      <w:r w:rsidR="00DD0770">
        <w:t xml:space="preserve"> </w:t>
      </w:r>
      <w:r>
        <w:t>will be added under the description on lymphomas in section 4.8 of the SmPC.</w:t>
      </w:r>
      <w:r w:rsidR="00DD0770">
        <w:t xml:space="preserve"> </w:t>
      </w:r>
      <w:r>
        <w:t>In a search for ‘HPV and related cancers’ a total of 414 cases (464 events) were identified cumulatively with</w:t>
      </w:r>
      <w:r w:rsidR="00DD0770">
        <w:t xml:space="preserve"> </w:t>
      </w:r>
      <w:r>
        <w:t>a stable incidence rate over time. The majority of cases reported HPV infection, papilloma, dysplasia and</w:t>
      </w:r>
      <w:r w:rsidR="00DD0770">
        <w:t xml:space="preserve"> </w:t>
      </w:r>
      <w:r>
        <w:t>warts. There were 68 neoplasms reported (59 cervix and 9 anal). Underreporting is highly probable for these</w:t>
      </w:r>
      <w:r w:rsidR="00DD0770">
        <w:t xml:space="preserve"> </w:t>
      </w:r>
      <w:r>
        <w:t>events and evaluation of causality is consequently hard to define. Nevertheless, reported noteworthy cases</w:t>
      </w:r>
      <w:r w:rsidR="00DD0770">
        <w:t xml:space="preserve"> </w:t>
      </w:r>
      <w:r>
        <w:t>suggest temporal relation. More than transformation onto malignant neoplasm following HPV infection,</w:t>
      </w:r>
      <w:r w:rsidR="00DD0770">
        <w:t xml:space="preserve"> </w:t>
      </w:r>
      <w:r>
        <w:t>reactivation is a more relevant event suggestive of immunological modifications. Given the pharmacological</w:t>
      </w:r>
      <w:r w:rsidR="00DD0770">
        <w:t xml:space="preserve"> </w:t>
      </w:r>
      <w:r>
        <w:t>properties of fingolimod on immunity and cases of reactivation (in some cases after several years of latency)</w:t>
      </w:r>
    </w:p>
    <w:p w14:paraId="0A885D1A" w14:textId="77777777" w:rsidR="006419A2" w:rsidRDefault="006419A2" w:rsidP="006419A2">
      <w:pPr>
        <w:spacing w:after="0"/>
      </w:pPr>
      <w:r>
        <w:t>with close temporal association with fingolimod, these data strongly support possible HPV infection</w:t>
      </w:r>
    </w:p>
    <w:p w14:paraId="16D4CD48" w14:textId="13A4A94B" w:rsidR="006419A2" w:rsidRDefault="006419A2" w:rsidP="006419A2">
      <w:pPr>
        <w:spacing w:after="0"/>
      </w:pPr>
      <w:r>
        <w:t>reactivation upon fingolimod treatment. These data support the change proposed for the SmPC and in the</w:t>
      </w:r>
      <w:r w:rsidR="00DD0770">
        <w:t xml:space="preserve"> </w:t>
      </w:r>
      <w:r>
        <w:t>Package leaflet.</w:t>
      </w:r>
      <w:r w:rsidR="00DD0770">
        <w:t xml:space="preserve"> </w:t>
      </w:r>
      <w:r>
        <w:t>The CHMP agrees with the scientific conclusions made by the PRAC.</w:t>
      </w:r>
      <w:r w:rsidR="00DD0770">
        <w:t xml:space="preserve"> </w:t>
      </w:r>
      <w:r>
        <w:t>Grounds for the variation to the terms of the marketing authorisation(s)</w:t>
      </w:r>
      <w:r w:rsidR="00DD0770">
        <w:t xml:space="preserve"> </w:t>
      </w:r>
      <w:r>
        <w:t>On the basis of the scientific conclusions for fingolimod the CHMP is of the opinion that the benefit-risk</w:t>
      </w:r>
      <w:r w:rsidR="00DD0770">
        <w:t xml:space="preserve"> </w:t>
      </w:r>
      <w:r>
        <w:t>balance of the medicinal product(s) containing fingolimod is unchanged subject to the proposed changes to</w:t>
      </w:r>
      <w:r w:rsidR="00DD0770">
        <w:t xml:space="preserve"> </w:t>
      </w:r>
      <w:r>
        <w:t>the product information</w:t>
      </w:r>
      <w:r w:rsidR="00DD0770">
        <w:t xml:space="preserve">. </w:t>
      </w:r>
      <w:r>
        <w:t>The CHMP recommends that the terms of the marketing authorisation(s) should be varied.”</w:t>
      </w:r>
    </w:p>
    <w:p w14:paraId="6F1323B2" w14:textId="420FC0BC" w:rsidR="006419A2" w:rsidRDefault="006419A2" w:rsidP="006419A2">
      <w:pPr>
        <w:spacing w:after="0"/>
      </w:pPr>
      <w:r>
        <w:t>--</w:t>
      </w:r>
    </w:p>
    <w:p w14:paraId="7161B14E" w14:textId="4BDBE257" w:rsidR="006419A2" w:rsidRDefault="006419A2" w:rsidP="006419A2">
      <w:pPr>
        <w:spacing w:after="0"/>
      </w:pPr>
    </w:p>
    <w:p w14:paraId="4D86F7C0" w14:textId="7FAF79C3" w:rsidR="006419A2" w:rsidRDefault="007B3B4E" w:rsidP="006419A2">
      <w:pPr>
        <w:spacing w:after="0"/>
      </w:pPr>
      <w:hyperlink r:id="rId19" w:history="1">
        <w:r w:rsidR="00EE2552" w:rsidRPr="002731D6">
          <w:rPr>
            <w:rStyle w:val="Hyperlink"/>
          </w:rPr>
          <w:t>https://www.ema.europa.eu/en/documents/scientific-conclusion/gilenya-h-c-psusa-00001393-201902-epar-scientific-conclusions-grounds-variation-terms-marketing_en.pdf</w:t>
        </w:r>
      </w:hyperlink>
      <w:r w:rsidR="00EE2552">
        <w:t xml:space="preserve"> </w:t>
      </w:r>
    </w:p>
    <w:p w14:paraId="09DF21AF" w14:textId="501BE328" w:rsidR="00EE2552" w:rsidRDefault="00EE2552" w:rsidP="006419A2">
      <w:pPr>
        <w:spacing w:after="0"/>
      </w:pPr>
    </w:p>
    <w:p w14:paraId="47055F7B" w14:textId="609C4637" w:rsidR="00EE2552" w:rsidRDefault="00EE2552" w:rsidP="00EE2552">
      <w:pPr>
        <w:spacing w:after="0"/>
      </w:pPr>
      <w:r>
        <w:t>“Scientific conclusions</w:t>
      </w:r>
    </w:p>
    <w:p w14:paraId="5F75790A" w14:textId="77777777" w:rsidR="00D61AD0" w:rsidRDefault="00EE2552" w:rsidP="00EE2552">
      <w:pPr>
        <w:spacing w:after="0"/>
      </w:pPr>
      <w:r>
        <w:t>Taking into account the PRAC Assessment Report on the PSUR(s) for fingolimod, the scientific conclusions</w:t>
      </w:r>
      <w:r w:rsidR="00D61AD0">
        <w:t xml:space="preserve"> </w:t>
      </w:r>
      <w:r>
        <w:t>of CHMP are as follows:</w:t>
      </w:r>
      <w:r w:rsidR="00D61AD0">
        <w:t xml:space="preserve"> </w:t>
      </w:r>
    </w:p>
    <w:p w14:paraId="4A3E7B22" w14:textId="61128B6B" w:rsidR="00EE2552" w:rsidRDefault="00EE2552" w:rsidP="00D61AD0">
      <w:pPr>
        <w:spacing w:after="0"/>
      </w:pPr>
      <w:r>
        <w:t>Regarding the signal ‘autoimmune haemolytic anaemia (AIHA)’, the PRAC concluded that the cumulative</w:t>
      </w:r>
      <w:r w:rsidR="00D61AD0">
        <w:t xml:space="preserve"> </w:t>
      </w:r>
      <w:r>
        <w:t>review provided by the MAH as well as the plausible theoretical mechanism support a causal relationship</w:t>
      </w:r>
    </w:p>
    <w:p w14:paraId="5A06B319" w14:textId="77777777" w:rsidR="00EE2552" w:rsidRDefault="00EE2552" w:rsidP="00EE2552">
      <w:pPr>
        <w:spacing w:after="0"/>
      </w:pPr>
      <w:r>
        <w:t>between therapy with fingolimod and occurrence of AIHA:</w:t>
      </w:r>
    </w:p>
    <w:p w14:paraId="4E11A790" w14:textId="77777777" w:rsidR="00EE2552" w:rsidRDefault="00EE2552" w:rsidP="00EE2552">
      <w:pPr>
        <w:spacing w:after="0"/>
      </w:pPr>
      <w:r>
        <w:t>• Four cases without identified cofounders and with supportive chronology and clinical course with</w:t>
      </w:r>
    </w:p>
    <w:p w14:paraId="16562538" w14:textId="77777777" w:rsidR="00EE2552" w:rsidRDefault="00EE2552" w:rsidP="00EE2552">
      <w:pPr>
        <w:spacing w:after="0"/>
      </w:pPr>
      <w:r>
        <w:t>improvement/recovery following discontinuation of fingolimod.</w:t>
      </w:r>
    </w:p>
    <w:p w14:paraId="5161AFE4" w14:textId="3500FE48" w:rsidR="00EE2552" w:rsidRDefault="00EE2552" w:rsidP="00EE2552">
      <w:pPr>
        <w:spacing w:after="0"/>
      </w:pPr>
      <w:r>
        <w:t>• One case with very suggestive chronology of the event with compatible outcome then de-challenge</w:t>
      </w:r>
      <w:r w:rsidR="00D61AD0">
        <w:t xml:space="preserve"> </w:t>
      </w:r>
      <w:r>
        <w:t>and re-challenge positive</w:t>
      </w:r>
    </w:p>
    <w:p w14:paraId="2BA5A203" w14:textId="77777777" w:rsidR="00EE2552" w:rsidRDefault="00EE2552" w:rsidP="00EE2552">
      <w:pPr>
        <w:spacing w:after="0"/>
      </w:pPr>
      <w:r>
        <w:t>• Fingolimod is an immunosuppressant and immunosuppression conditions are risk factors for</w:t>
      </w:r>
    </w:p>
    <w:p w14:paraId="1A6C025C" w14:textId="09C54ED6" w:rsidR="00EE2552" w:rsidRDefault="00EE2552" w:rsidP="00EE2552">
      <w:pPr>
        <w:spacing w:after="0"/>
      </w:pPr>
      <w:proofErr w:type="spellStart"/>
      <w:r>
        <w:t>dysimmunity</w:t>
      </w:r>
      <w:proofErr w:type="spellEnd"/>
      <w:r>
        <w:t>.</w:t>
      </w:r>
      <w:r w:rsidR="00D61AD0">
        <w:t xml:space="preserve"> </w:t>
      </w:r>
      <w:r>
        <w:t>Based on the noteworthy cases identified in post-marketing, AIHA should be added to the section of the</w:t>
      </w:r>
      <w:r w:rsidR="00D61AD0">
        <w:t xml:space="preserve"> </w:t>
      </w:r>
      <w:r>
        <w:t>adverse drug reactions in the SmPC and in the package leaflet.</w:t>
      </w:r>
    </w:p>
    <w:p w14:paraId="3CA33579" w14:textId="77777777" w:rsidR="00EE2552" w:rsidRDefault="00EE2552" w:rsidP="00EE2552">
      <w:pPr>
        <w:spacing w:after="0"/>
      </w:pPr>
      <w:r>
        <w:t>For weight decreased, section 4.8 of SmPC and section 4 of the package leaflet should be updated to</w:t>
      </w:r>
    </w:p>
    <w:p w14:paraId="5F5201C5" w14:textId="0A1F87F8" w:rsidR="00EE2552" w:rsidRDefault="00EE2552" w:rsidP="00EE2552">
      <w:pPr>
        <w:spacing w:after="0"/>
      </w:pPr>
      <w:r>
        <w:t>include this AE following the current PSUSA with the frequency common.</w:t>
      </w:r>
      <w:r w:rsidR="00D61AD0">
        <w:t xml:space="preserve"> </w:t>
      </w:r>
      <w:r>
        <w:t>Regarding lymphoma, the MAH proposed to update the section 4.4 of the SmPC regarding the risk of</w:t>
      </w:r>
      <w:r w:rsidR="00D61AD0">
        <w:t xml:space="preserve"> </w:t>
      </w:r>
      <w:r>
        <w:t>lymphoma “There have been cases of lymphoma in clinical studies and the post-marketing setting. The</w:t>
      </w:r>
      <w:r w:rsidR="00D61AD0">
        <w:t xml:space="preserve"> </w:t>
      </w:r>
      <w:r>
        <w:t>cases reported were heterogeneous in nature, mainly non-Hodgkin’s lymphoma, including B-cell and</w:t>
      </w:r>
      <w:r w:rsidR="00D61AD0">
        <w:t xml:space="preserve"> </w:t>
      </w:r>
      <w:r>
        <w:t xml:space="preserve">T-cell lymphomas. Cases of cutaneous T-cell lymphoma (mycosis fungoides) have been observed.” </w:t>
      </w:r>
      <w:r w:rsidR="00D61AD0">
        <w:t>A</w:t>
      </w:r>
      <w:r>
        <w:t>nd</w:t>
      </w:r>
      <w:r w:rsidR="00D61AD0">
        <w:t xml:space="preserve"> </w:t>
      </w:r>
      <w:r>
        <w:t>under the section 2 of the PL “A type of cancer of the lymphatic system (lymphoma) has been reported in</w:t>
      </w:r>
    </w:p>
    <w:p w14:paraId="1E32A368" w14:textId="7F15C4A6" w:rsidR="00EE2552" w:rsidRDefault="00EE2552" w:rsidP="00EE2552">
      <w:pPr>
        <w:spacing w:after="0"/>
      </w:pPr>
      <w:r>
        <w:t xml:space="preserve">MS patients treated with </w:t>
      </w:r>
      <w:proofErr w:type="spellStart"/>
      <w:r>
        <w:t>Gilenya</w:t>
      </w:r>
      <w:proofErr w:type="spellEnd"/>
      <w:r>
        <w:t>”. The section 4.8 of the SmPC regarding lymphomas specifies that cases</w:t>
      </w:r>
      <w:r w:rsidR="00D61AD0">
        <w:t xml:space="preserve"> </w:t>
      </w:r>
      <w:r>
        <w:t>of lymphoma include also a fatal case of Epstein-Barr virus (EBV) positive B-cell lymphoma. Detailed</w:t>
      </w:r>
      <w:r w:rsidR="00D61AD0">
        <w:t xml:space="preserve"> </w:t>
      </w:r>
      <w:r>
        <w:t>information of adverse reactions with no recommendation should not be included in this section.</w:t>
      </w:r>
      <w:r w:rsidR="00D61AD0">
        <w:t xml:space="preserve"> </w:t>
      </w:r>
      <w:r>
        <w:t>Therefore, information relating to fatal case of Epstein-Barr virus (EBV) positive B-cell lymphoma and a</w:t>
      </w:r>
      <w:r w:rsidR="00D61AD0">
        <w:t xml:space="preserve"> </w:t>
      </w:r>
      <w:r>
        <w:t>precaution for use regarding the interruption of treatment if lymphoma is suspected, should be included</w:t>
      </w:r>
      <w:r w:rsidR="00D61AD0">
        <w:t xml:space="preserve"> </w:t>
      </w:r>
      <w:r>
        <w:t>in the PI.</w:t>
      </w:r>
    </w:p>
    <w:p w14:paraId="17B39C6F" w14:textId="77777777" w:rsidR="00EE2552" w:rsidRDefault="00EE2552" w:rsidP="00EE2552">
      <w:pPr>
        <w:spacing w:after="0"/>
      </w:pPr>
      <w:r>
        <w:t>For PML, section 4.4 of the SmPC and section 2 of the PL should be updated in order to highlight the</w:t>
      </w:r>
    </w:p>
    <w:p w14:paraId="60850505" w14:textId="77777777" w:rsidR="00EE2552" w:rsidRDefault="00EE2552" w:rsidP="00EE2552">
      <w:pPr>
        <w:spacing w:after="0"/>
      </w:pPr>
      <w:r>
        <w:t>importance of MRI finding.</w:t>
      </w:r>
    </w:p>
    <w:p w14:paraId="6A1E8195" w14:textId="77777777" w:rsidR="00EE2552" w:rsidRDefault="00EE2552" w:rsidP="00EE2552">
      <w:pPr>
        <w:spacing w:after="0"/>
      </w:pPr>
      <w:r>
        <w:t>The CHMP agrees with the scientific conclusions made by the PRAC.</w:t>
      </w:r>
    </w:p>
    <w:p w14:paraId="2F5E1921" w14:textId="77777777" w:rsidR="00EE2552" w:rsidRDefault="00EE2552" w:rsidP="00EE2552">
      <w:pPr>
        <w:spacing w:after="0"/>
      </w:pPr>
      <w:r>
        <w:t>Grounds for the variation to the terms of the marketing authorisation(s)</w:t>
      </w:r>
    </w:p>
    <w:p w14:paraId="555468C4" w14:textId="225480AD" w:rsidR="00EE2552" w:rsidRDefault="00EE2552" w:rsidP="00EE2552">
      <w:pPr>
        <w:spacing w:after="0"/>
      </w:pPr>
      <w:r>
        <w:t>On the basis of the scientific conclusions for fingolimod the CHMP is of the opinion that the benefit-risk</w:t>
      </w:r>
      <w:r w:rsidR="00D61AD0">
        <w:t xml:space="preserve"> </w:t>
      </w:r>
      <w:r>
        <w:t>balance of the medicinal product(s) containing fingolimod is unchanged subject to the proposed changes</w:t>
      </w:r>
      <w:r w:rsidR="00D61AD0">
        <w:t xml:space="preserve"> </w:t>
      </w:r>
      <w:r>
        <w:t>to the product information.</w:t>
      </w:r>
    </w:p>
    <w:p w14:paraId="2722933E" w14:textId="1ED938F1" w:rsidR="00EE2552" w:rsidRDefault="00EE2552" w:rsidP="00EE2552">
      <w:pPr>
        <w:spacing w:after="0"/>
      </w:pPr>
      <w:r>
        <w:t>The CHMP recommends that the terms of the marketing authorisation(s) should be varied.”</w:t>
      </w:r>
    </w:p>
    <w:p w14:paraId="24283A23" w14:textId="14E84A0E" w:rsidR="00EE2552" w:rsidRDefault="00EE2552" w:rsidP="00EE2552">
      <w:pPr>
        <w:spacing w:after="0"/>
      </w:pPr>
      <w:r>
        <w:t>--</w:t>
      </w:r>
    </w:p>
    <w:p w14:paraId="2E6DB5E8" w14:textId="41E84F50" w:rsidR="00EE2552" w:rsidRDefault="00EE2552" w:rsidP="00EE2552">
      <w:pPr>
        <w:spacing w:after="0"/>
      </w:pPr>
    </w:p>
    <w:p w14:paraId="0837753A" w14:textId="39BC99E7" w:rsidR="00EE2552" w:rsidRDefault="007B3B4E" w:rsidP="00EE2552">
      <w:pPr>
        <w:spacing w:after="0"/>
      </w:pPr>
      <w:hyperlink r:id="rId20" w:history="1">
        <w:r w:rsidR="00EE2552" w:rsidRPr="002731D6">
          <w:rPr>
            <w:rStyle w:val="Hyperlink"/>
          </w:rPr>
          <w:t>https://www.ema.europa.eu/en/documents/scientific-conclusion/gilenya-h-c-psusa-00001393-202002-epar-scientific-conclusions-grounds-variation-terms-marketing_en.pdf</w:t>
        </w:r>
      </w:hyperlink>
      <w:r w:rsidR="00EE2552">
        <w:t xml:space="preserve"> </w:t>
      </w:r>
    </w:p>
    <w:p w14:paraId="1369117B" w14:textId="40D05800" w:rsidR="00EE2552" w:rsidRDefault="00EE2552" w:rsidP="00EE2552">
      <w:pPr>
        <w:spacing w:after="0"/>
      </w:pPr>
    </w:p>
    <w:p w14:paraId="28D4D6D4" w14:textId="77777777" w:rsidR="00EE2552" w:rsidRDefault="00EE2552" w:rsidP="00EE2552">
      <w:pPr>
        <w:spacing w:after="0"/>
      </w:pPr>
      <w:r>
        <w:t>“Scientific conclusions</w:t>
      </w:r>
    </w:p>
    <w:p w14:paraId="7261ACB7" w14:textId="1CB84EF9" w:rsidR="00EE2552" w:rsidRDefault="00EE2552" w:rsidP="00EE2552">
      <w:pPr>
        <w:spacing w:after="0"/>
      </w:pPr>
      <w:r>
        <w:t>Taking into account the PRAC Assessment Report on the PSUR for fingolimod, the scientific conclusions</w:t>
      </w:r>
      <w:r w:rsidR="006C79F5">
        <w:t xml:space="preserve"> </w:t>
      </w:r>
      <w:r>
        <w:t>of CHMP are as follows:</w:t>
      </w:r>
    </w:p>
    <w:p w14:paraId="2F343546" w14:textId="063874C0" w:rsidR="00EE2552" w:rsidRDefault="00EE2552" w:rsidP="00EE2552">
      <w:pPr>
        <w:spacing w:after="0"/>
      </w:pPr>
      <w:r>
        <w:t>Data has been presented on liver injury requiring transplant from spontaneous reports, including one</w:t>
      </w:r>
      <w:r w:rsidR="006C79F5">
        <w:t xml:space="preserve"> </w:t>
      </w:r>
      <w:r>
        <w:t xml:space="preserve">case with a close temporal relationship with fingolimod, and on herpes zoster/herpes simplex </w:t>
      </w:r>
      <w:r>
        <w:lastRenderedPageBreak/>
        <w:t>infections</w:t>
      </w:r>
      <w:r w:rsidR="006C79F5">
        <w:t xml:space="preserve"> </w:t>
      </w:r>
      <w:r>
        <w:t>with fingolimod where 9 new cases of VZV infection with visceral or CNS dissemination and 3 new</w:t>
      </w:r>
      <w:r w:rsidR="006C79F5">
        <w:t xml:space="preserve"> </w:t>
      </w:r>
      <w:r>
        <w:t>cases of Herpes simplex infection with visceral or CNS dissemination were reported, adding up to 50</w:t>
      </w:r>
      <w:r w:rsidR="006C79F5">
        <w:t xml:space="preserve"> </w:t>
      </w:r>
      <w:r>
        <w:t>and 20 cumulative cases, respectively. Among these 70 cumulative cases, there were 20 cases of</w:t>
      </w:r>
      <w:r w:rsidR="006C79F5">
        <w:t xml:space="preserve"> </w:t>
      </w:r>
      <w:r>
        <w:t>meningoencephalitis, 9 cases of encephalitis and 3 cases of meningitis.</w:t>
      </w:r>
    </w:p>
    <w:p w14:paraId="0DA35760" w14:textId="3BBA9B43" w:rsidR="00EE2552" w:rsidRDefault="00EE2552" w:rsidP="00EE2552">
      <w:pPr>
        <w:spacing w:after="0"/>
      </w:pPr>
      <w:r>
        <w:t>In view of these data, the PRAC agrees that the information should be reflected in the section 4.4 and</w:t>
      </w:r>
      <w:r w:rsidR="006C79F5">
        <w:t xml:space="preserve"> </w:t>
      </w:r>
      <w:r>
        <w:t>4.8 of the SmPC and accordingly in sections 2 and 4 of the PL.</w:t>
      </w:r>
    </w:p>
    <w:p w14:paraId="4E5BA92F" w14:textId="77777777" w:rsidR="00EE2552" w:rsidRDefault="00EE2552" w:rsidP="00EE2552">
      <w:pPr>
        <w:spacing w:after="0"/>
      </w:pPr>
      <w:r>
        <w:t>The CHMP agrees with the scientific conclusions made by the PRAC.</w:t>
      </w:r>
    </w:p>
    <w:p w14:paraId="2D7654F7" w14:textId="77777777" w:rsidR="00EE2552" w:rsidRDefault="00EE2552" w:rsidP="00EE2552">
      <w:pPr>
        <w:spacing w:after="0"/>
      </w:pPr>
      <w:r>
        <w:t>Grounds for the variation to the terms of the marketing authorisation(s)</w:t>
      </w:r>
    </w:p>
    <w:p w14:paraId="1D6FCA69" w14:textId="267D0567" w:rsidR="00EE2552" w:rsidRDefault="00EE2552" w:rsidP="00EE2552">
      <w:pPr>
        <w:spacing w:after="0"/>
      </w:pPr>
      <w:r>
        <w:t>On the basis of the scientific conclusions for fingolimod the CHMP is of the opinion that the benefit-risk</w:t>
      </w:r>
      <w:r w:rsidR="006C79F5">
        <w:t xml:space="preserve"> </w:t>
      </w:r>
      <w:r>
        <w:t>balance of the medicinal product(s) containing fingolimod is unchanged subject to the proposed</w:t>
      </w:r>
    </w:p>
    <w:p w14:paraId="64B4E806" w14:textId="77777777" w:rsidR="00EE2552" w:rsidRDefault="00EE2552" w:rsidP="00EE2552">
      <w:pPr>
        <w:spacing w:after="0"/>
      </w:pPr>
      <w:r>
        <w:t>changes to the product information</w:t>
      </w:r>
    </w:p>
    <w:p w14:paraId="13CCDA4F" w14:textId="336E3306" w:rsidR="00EE2552" w:rsidRDefault="00EE2552" w:rsidP="00EE2552">
      <w:pPr>
        <w:spacing w:after="0"/>
      </w:pPr>
      <w:r>
        <w:t>The CHMP recommends that the terms of the marketing authorisation(s) should be varied.”</w:t>
      </w:r>
    </w:p>
    <w:p w14:paraId="25A83856" w14:textId="4185F5D6" w:rsidR="00EE2552" w:rsidRDefault="00EE2552" w:rsidP="00EE2552">
      <w:pPr>
        <w:spacing w:after="0"/>
      </w:pPr>
    </w:p>
    <w:p w14:paraId="70E4DBF3" w14:textId="6FDEAD9C" w:rsidR="006419A2" w:rsidRPr="00DD5727" w:rsidRDefault="006419A2" w:rsidP="006419A2">
      <w:pPr>
        <w:spacing w:after="0"/>
      </w:pPr>
    </w:p>
    <w:p w14:paraId="7D2E816C" w14:textId="77777777" w:rsidR="00A6550A" w:rsidRPr="00A6550A" w:rsidRDefault="00A0185B" w:rsidP="000148F2">
      <w:pPr>
        <w:pStyle w:val="Heading2"/>
      </w:pPr>
      <w:bookmarkStart w:id="3" w:name="_Toc104798907"/>
      <w:r w:rsidRPr="00A6550A">
        <w:t>Glatiramer acetate</w:t>
      </w:r>
      <w:r w:rsidR="00A6550A" w:rsidRPr="00A6550A">
        <w:t>: several brands available</w:t>
      </w:r>
      <w:bookmarkEnd w:id="3"/>
      <w:r w:rsidR="00A6550A" w:rsidRPr="00A6550A">
        <w:t xml:space="preserve"> </w:t>
      </w:r>
    </w:p>
    <w:p w14:paraId="6FF61AEA" w14:textId="78285B58" w:rsidR="00A0185B" w:rsidRPr="00A6550A" w:rsidRDefault="00A6550A" w:rsidP="00A6550A">
      <w:pPr>
        <w:rPr>
          <w:i/>
          <w:iCs/>
        </w:rPr>
      </w:pPr>
      <w:r w:rsidRPr="00A6550A">
        <w:rPr>
          <w:i/>
          <w:iCs/>
        </w:rPr>
        <w:t>Copaxone</w:t>
      </w:r>
      <w:r w:rsidR="00A0185B" w:rsidRPr="00A6550A">
        <w:rPr>
          <w:i/>
          <w:iCs/>
        </w:rPr>
        <w:t xml:space="preserve"> </w:t>
      </w:r>
    </w:p>
    <w:p w14:paraId="396D0AAB" w14:textId="4AED4172" w:rsidR="00A6550A" w:rsidRDefault="00A6550A" w:rsidP="00A6550A">
      <w:r w:rsidRPr="00A6550A">
        <w:t xml:space="preserve">No clear information available – authorized before EMA </w:t>
      </w:r>
      <w:r w:rsidR="006977F4">
        <w:t>processes</w:t>
      </w:r>
      <w:r w:rsidRPr="00A6550A">
        <w:t>?</w:t>
      </w:r>
    </w:p>
    <w:p w14:paraId="4F737340" w14:textId="31739021" w:rsidR="00A0185B" w:rsidRDefault="00A0185B" w:rsidP="000148F2">
      <w:pPr>
        <w:pStyle w:val="Heading2"/>
        <w:rPr>
          <w:i/>
          <w:iCs/>
        </w:rPr>
      </w:pPr>
      <w:bookmarkStart w:id="4" w:name="_Toc104798908"/>
      <w:r w:rsidRPr="00245594">
        <w:t>Interferon beta-1a</w:t>
      </w:r>
      <w:r w:rsidR="00245594" w:rsidRPr="00245594">
        <w:t xml:space="preserve">: </w:t>
      </w:r>
      <w:r w:rsidR="00245594" w:rsidRPr="00245594">
        <w:rPr>
          <w:i/>
          <w:iCs/>
        </w:rPr>
        <w:t>Rebif</w:t>
      </w:r>
      <w:bookmarkEnd w:id="4"/>
      <w:r w:rsidRPr="00245594">
        <w:rPr>
          <w:i/>
          <w:iCs/>
        </w:rPr>
        <w:t xml:space="preserve"> </w:t>
      </w:r>
    </w:p>
    <w:p w14:paraId="13F53E0E" w14:textId="5CEA6451" w:rsidR="00245594" w:rsidRDefault="00245594" w:rsidP="00245594">
      <w:r>
        <w:t xml:space="preserve">Since authorization: </w:t>
      </w:r>
      <w:hyperlink r:id="rId21" w:history="1">
        <w:r w:rsidRPr="002731D6">
          <w:rPr>
            <w:rStyle w:val="Hyperlink"/>
          </w:rPr>
          <w:t>https://www.ema.europa.eu/en/documents/procedural-steps-after/rebif-epar-procedural-steps-taken-scientific-information-after-authorisation_en.pdf</w:t>
        </w:r>
      </w:hyperlink>
      <w:r>
        <w:t xml:space="preserve"> </w:t>
      </w:r>
    </w:p>
    <w:p w14:paraId="78BF03C2" w14:textId="77777777" w:rsidR="00245594" w:rsidRDefault="00245594" w:rsidP="00245594">
      <w:r>
        <w:t xml:space="preserve">There are a number of changes, please refer to link above. </w:t>
      </w:r>
    </w:p>
    <w:p w14:paraId="53001945" w14:textId="77777777" w:rsidR="00245594" w:rsidRDefault="00245594" w:rsidP="00245594">
      <w:r>
        <w:t>Of note:</w:t>
      </w:r>
    </w:p>
    <w:p w14:paraId="46A1B6D0" w14:textId="77777777" w:rsidR="00611345" w:rsidRDefault="00611345" w:rsidP="00611345">
      <w:pPr>
        <w:spacing w:after="0"/>
      </w:pPr>
      <w:r w:rsidRPr="00611345">
        <w:t>26/08/2014</w:t>
      </w:r>
      <w:r>
        <w:t>: The MAH conducted a cumulative search for cases of</w:t>
      </w:r>
    </w:p>
    <w:p w14:paraId="44EF1D42" w14:textId="77777777" w:rsidR="00611345" w:rsidRDefault="00611345" w:rsidP="00611345">
      <w:pPr>
        <w:spacing w:after="0"/>
      </w:pPr>
      <w:r>
        <w:t>thrombotic microangiopathy. Further to the PRAC review of</w:t>
      </w:r>
    </w:p>
    <w:p w14:paraId="244242B2" w14:textId="77777777" w:rsidR="00611345" w:rsidRDefault="00611345" w:rsidP="00611345">
      <w:pPr>
        <w:spacing w:after="0"/>
      </w:pPr>
      <w:r>
        <w:t>these data, the CHMP concurred with the PRAC ́s view that</w:t>
      </w:r>
    </w:p>
    <w:p w14:paraId="1D0578B7" w14:textId="77777777" w:rsidR="00611345" w:rsidRDefault="00611345" w:rsidP="00611345">
      <w:pPr>
        <w:spacing w:after="0"/>
      </w:pPr>
      <w:r>
        <w:t>there might be a causal relationship between the class of</w:t>
      </w:r>
    </w:p>
    <w:p w14:paraId="75F4B3FB" w14:textId="77777777" w:rsidR="00611345" w:rsidRDefault="00611345" w:rsidP="00611345">
      <w:pPr>
        <w:spacing w:after="0"/>
      </w:pPr>
      <w:r>
        <w:t>interferons and thrombotic microangiopathy, and that the</w:t>
      </w:r>
    </w:p>
    <w:p w14:paraId="47A9AA88" w14:textId="77777777" w:rsidR="00611345" w:rsidRDefault="00611345" w:rsidP="00611345">
      <w:pPr>
        <w:spacing w:after="0"/>
      </w:pPr>
      <w:r>
        <w:t>PI should be updated accordingly. Furthermore, the CHMP</w:t>
      </w:r>
    </w:p>
    <w:p w14:paraId="52FFF11B" w14:textId="77777777" w:rsidR="00611345" w:rsidRDefault="00611345" w:rsidP="00611345">
      <w:pPr>
        <w:spacing w:after="0"/>
      </w:pPr>
      <w:r>
        <w:t>concurred that a warning about the risk of thrombotic</w:t>
      </w:r>
    </w:p>
    <w:p w14:paraId="3FD18082" w14:textId="77777777" w:rsidR="00611345" w:rsidRDefault="00611345" w:rsidP="00611345">
      <w:pPr>
        <w:spacing w:after="0"/>
      </w:pPr>
      <w:r>
        <w:t>microangiopathy, including recommendations for</w:t>
      </w:r>
    </w:p>
    <w:p w14:paraId="633BE40D" w14:textId="77777777" w:rsidR="00611345" w:rsidRDefault="00611345" w:rsidP="00611345">
      <w:pPr>
        <w:spacing w:after="0"/>
      </w:pPr>
      <w:r>
        <w:t>monitoring of early symptoms, prompt treatment and</w:t>
      </w:r>
    </w:p>
    <w:p w14:paraId="0BA8A4FC" w14:textId="77777777" w:rsidR="00611345" w:rsidRDefault="00611345" w:rsidP="00611345">
      <w:pPr>
        <w:spacing w:after="0"/>
      </w:pPr>
      <w:r>
        <w:t>discontinuation of interferon beta products when the</w:t>
      </w:r>
    </w:p>
    <w:p w14:paraId="5FCE1E5A" w14:textId="77777777" w:rsidR="00611345" w:rsidRDefault="00611345" w:rsidP="00611345">
      <w:pPr>
        <w:spacing w:after="0"/>
      </w:pPr>
      <w:r>
        <w:t>reaction occurs, should be added to the Product</w:t>
      </w:r>
    </w:p>
    <w:p w14:paraId="1D019CCA" w14:textId="674C80EB" w:rsidR="00245594" w:rsidRDefault="00611345" w:rsidP="00611345">
      <w:pPr>
        <w:spacing w:after="0"/>
      </w:pPr>
      <w:r>
        <w:t xml:space="preserve">Information. </w:t>
      </w:r>
    </w:p>
    <w:p w14:paraId="7CFAB519" w14:textId="6D023BD6" w:rsidR="00611345" w:rsidRDefault="00611345" w:rsidP="00611345">
      <w:pPr>
        <w:spacing w:after="0"/>
      </w:pPr>
      <w:r>
        <w:t>--</w:t>
      </w:r>
    </w:p>
    <w:p w14:paraId="60518F34" w14:textId="77777777" w:rsidR="00611345" w:rsidRDefault="00611345" w:rsidP="00611345">
      <w:pPr>
        <w:spacing w:after="0"/>
      </w:pPr>
      <w:r w:rsidRPr="00611345">
        <w:t>26/08/2014</w:t>
      </w:r>
      <w:r>
        <w:t>: The MAH conducted a cumulative search for cases of</w:t>
      </w:r>
    </w:p>
    <w:p w14:paraId="33EFB10E" w14:textId="77777777" w:rsidR="00611345" w:rsidRDefault="00611345" w:rsidP="00611345">
      <w:pPr>
        <w:spacing w:after="0"/>
      </w:pPr>
      <w:r>
        <w:t xml:space="preserve">glomerulosclerosis and nephrotic syndrome. Further to </w:t>
      </w:r>
      <w:proofErr w:type="gramStart"/>
      <w:r>
        <w:t>their</w:t>
      </w:r>
      <w:proofErr w:type="gramEnd"/>
    </w:p>
    <w:p w14:paraId="0D6846E6" w14:textId="77777777" w:rsidR="00611345" w:rsidRDefault="00611345" w:rsidP="00611345">
      <w:pPr>
        <w:spacing w:after="0"/>
      </w:pPr>
      <w:r>
        <w:t>review of these data, the CHMP was of the opinion that</w:t>
      </w:r>
    </w:p>
    <w:p w14:paraId="74748CBD" w14:textId="77777777" w:rsidR="00611345" w:rsidRDefault="00611345" w:rsidP="00611345">
      <w:pPr>
        <w:spacing w:after="0"/>
      </w:pPr>
      <w:r>
        <w:t>there might be a causal relationship between interferon</w:t>
      </w:r>
    </w:p>
    <w:p w14:paraId="36482ECA" w14:textId="77777777" w:rsidR="00611345" w:rsidRDefault="00611345" w:rsidP="00611345">
      <w:pPr>
        <w:spacing w:after="0"/>
      </w:pPr>
      <w:r>
        <w:t>beta 1-a and glomerulosclerosis and nephrotic syndrome,</w:t>
      </w:r>
    </w:p>
    <w:p w14:paraId="0A37C63D" w14:textId="77777777" w:rsidR="00611345" w:rsidRDefault="00611345" w:rsidP="00611345">
      <w:pPr>
        <w:spacing w:after="0"/>
      </w:pPr>
      <w:r>
        <w:t>and that the PI should be updated accordingly.</w:t>
      </w:r>
    </w:p>
    <w:p w14:paraId="18BCD73F" w14:textId="77777777" w:rsidR="00611345" w:rsidRDefault="00611345" w:rsidP="00611345">
      <w:pPr>
        <w:spacing w:after="0"/>
      </w:pPr>
      <w:r>
        <w:t>Furthermore, the CHMP concluded that a warning about the</w:t>
      </w:r>
    </w:p>
    <w:p w14:paraId="1F9A517F" w14:textId="77777777" w:rsidR="00611345" w:rsidRDefault="00611345" w:rsidP="00611345">
      <w:pPr>
        <w:spacing w:after="0"/>
      </w:pPr>
      <w:r>
        <w:t>risk of nephrotic syndrome (including examples of</w:t>
      </w:r>
    </w:p>
    <w:p w14:paraId="7E354528" w14:textId="77777777" w:rsidR="00611345" w:rsidRDefault="00611345" w:rsidP="00611345">
      <w:pPr>
        <w:spacing w:after="0"/>
      </w:pPr>
      <w:r>
        <w:t>underlying conditions) and a recommendation to</w:t>
      </w:r>
    </w:p>
    <w:p w14:paraId="5CAB0F6F" w14:textId="77777777" w:rsidR="00611345" w:rsidRDefault="00611345" w:rsidP="00611345">
      <w:pPr>
        <w:spacing w:after="0"/>
      </w:pPr>
      <w:r>
        <w:lastRenderedPageBreak/>
        <w:t>periodically assess renal function were of relevance to the</w:t>
      </w:r>
    </w:p>
    <w:p w14:paraId="51D3E114" w14:textId="7999BDE8" w:rsidR="00611345" w:rsidRDefault="00611345" w:rsidP="00611345">
      <w:pPr>
        <w:spacing w:after="0"/>
      </w:pPr>
      <w:r>
        <w:t xml:space="preserve">prescriber and should be added to the SmPC. </w:t>
      </w:r>
    </w:p>
    <w:p w14:paraId="06AC682A" w14:textId="080B72C5" w:rsidR="00611345" w:rsidRDefault="00611345" w:rsidP="00611345">
      <w:pPr>
        <w:spacing w:after="0"/>
      </w:pPr>
      <w:r>
        <w:t>--</w:t>
      </w:r>
    </w:p>
    <w:p w14:paraId="0581EA92" w14:textId="77777777" w:rsidR="00611345" w:rsidRDefault="00611345" w:rsidP="00611345">
      <w:pPr>
        <w:spacing w:after="0"/>
      </w:pPr>
      <w:r w:rsidRPr="00611345">
        <w:t>28/02/2014</w:t>
      </w:r>
      <w:r>
        <w:t>: Following conclusions of a previous PSUR assessment, the</w:t>
      </w:r>
    </w:p>
    <w:p w14:paraId="641094B7" w14:textId="77777777" w:rsidR="00611345" w:rsidRDefault="00611345" w:rsidP="00611345">
      <w:pPr>
        <w:spacing w:after="0"/>
      </w:pPr>
      <w:r>
        <w:t>MAH complied with the request of the CHMP to update the</w:t>
      </w:r>
    </w:p>
    <w:p w14:paraId="6B261ABA" w14:textId="77777777" w:rsidR="00611345" w:rsidRDefault="00611345" w:rsidP="00611345">
      <w:pPr>
        <w:spacing w:after="0"/>
      </w:pPr>
      <w:r>
        <w:t>Product Information by adding the adverse reactions</w:t>
      </w:r>
    </w:p>
    <w:p w14:paraId="2FDC4124" w14:textId="77777777" w:rsidR="00611345" w:rsidRDefault="00611345" w:rsidP="00611345">
      <w:pPr>
        <w:spacing w:after="0"/>
      </w:pPr>
      <w:r>
        <w:t>“pancytopenia” and “increased sweating”.</w:t>
      </w:r>
    </w:p>
    <w:p w14:paraId="2FBBC763" w14:textId="77777777" w:rsidR="00611345" w:rsidRDefault="00611345" w:rsidP="00611345">
      <w:pPr>
        <w:spacing w:after="0"/>
      </w:pPr>
      <w:r>
        <w:t>With respect to pancytopenia, the CHMP considered the</w:t>
      </w:r>
    </w:p>
    <w:p w14:paraId="51DCFB7A" w14:textId="77777777" w:rsidR="00611345" w:rsidRDefault="00611345" w:rsidP="00611345">
      <w:pPr>
        <w:spacing w:after="0"/>
      </w:pPr>
      <w:r>
        <w:t>available literature data concerning the effects of interferon</w:t>
      </w:r>
    </w:p>
    <w:p w14:paraId="25A86159" w14:textId="77777777" w:rsidR="00611345" w:rsidRDefault="00611345" w:rsidP="00611345">
      <w:pPr>
        <w:spacing w:after="0"/>
      </w:pPr>
      <w:r>
        <w:t>on blood cells and the available clinical data from clinical</w:t>
      </w:r>
    </w:p>
    <w:p w14:paraId="47AB47A2" w14:textId="77777777" w:rsidR="00611345" w:rsidRDefault="00611345" w:rsidP="00611345">
      <w:pPr>
        <w:spacing w:after="0"/>
      </w:pPr>
      <w:r>
        <w:t>trials and post-marketing setting. The CHMP considered</w:t>
      </w:r>
    </w:p>
    <w:p w14:paraId="10E7E374" w14:textId="77777777" w:rsidR="00611345" w:rsidRDefault="00611345" w:rsidP="00611345">
      <w:pPr>
        <w:spacing w:after="0"/>
      </w:pPr>
      <w:r>
        <w:t>that no serious cases of pancytopenia were observed in</w:t>
      </w:r>
    </w:p>
    <w:p w14:paraId="2B0D8533" w14:textId="77777777" w:rsidR="00611345" w:rsidRDefault="00611345" w:rsidP="00611345">
      <w:pPr>
        <w:spacing w:after="0"/>
      </w:pPr>
      <w:r>
        <w:t>clinical trial and no reports concerning pancytopenia were</w:t>
      </w:r>
    </w:p>
    <w:p w14:paraId="40BBC7E0" w14:textId="77777777" w:rsidR="00611345" w:rsidRDefault="00611345" w:rsidP="00611345">
      <w:pPr>
        <w:spacing w:after="0"/>
      </w:pPr>
      <w:r>
        <w:t>identified in literature, but cases of pancytopenia were</w:t>
      </w:r>
    </w:p>
    <w:p w14:paraId="7EEFA7C0" w14:textId="77777777" w:rsidR="00611345" w:rsidRDefault="00611345" w:rsidP="00611345">
      <w:pPr>
        <w:spacing w:after="0"/>
      </w:pPr>
      <w:r>
        <w:t>reported in the post-marketing setting. Taken together with</w:t>
      </w:r>
    </w:p>
    <w:p w14:paraId="4B03669D" w14:textId="77777777" w:rsidR="00611345" w:rsidRDefault="00611345" w:rsidP="00611345">
      <w:pPr>
        <w:spacing w:after="0"/>
      </w:pPr>
      <w:r>
        <w:t>the known effect of IFN on blood cells, the possibility of</w:t>
      </w:r>
    </w:p>
    <w:p w14:paraId="5C84643C" w14:textId="77777777" w:rsidR="00611345" w:rsidRDefault="00611345" w:rsidP="00611345">
      <w:pPr>
        <w:spacing w:after="0"/>
      </w:pPr>
      <w:r>
        <w:t>decrease in several bone marrow cell-lines and a number of</w:t>
      </w:r>
    </w:p>
    <w:p w14:paraId="5E062B69" w14:textId="77777777" w:rsidR="00611345" w:rsidRDefault="00611345" w:rsidP="00611345">
      <w:pPr>
        <w:spacing w:after="0"/>
      </w:pPr>
      <w:r>
        <w:t>cases of positive de-challenge and even a couple of cases</w:t>
      </w:r>
    </w:p>
    <w:p w14:paraId="2DBC3E47" w14:textId="77777777" w:rsidR="00611345" w:rsidRDefault="00611345" w:rsidP="00611345">
      <w:pPr>
        <w:spacing w:after="0"/>
      </w:pPr>
      <w:r>
        <w:t>with positive re-challenge, the evidence available was</w:t>
      </w:r>
    </w:p>
    <w:p w14:paraId="29ADE92F" w14:textId="77777777" w:rsidR="00611345" w:rsidRDefault="00611345" w:rsidP="00611345">
      <w:pPr>
        <w:spacing w:after="0"/>
      </w:pPr>
      <w:r>
        <w:t>considered supportive of at least a possible causality. Thus,</w:t>
      </w:r>
    </w:p>
    <w:p w14:paraId="0FD77D2E" w14:textId="77777777" w:rsidR="00611345" w:rsidRDefault="00611345" w:rsidP="00611345">
      <w:pPr>
        <w:spacing w:after="0"/>
      </w:pPr>
      <w:r>
        <w:t>the CHMP concluded on the need to update section 4.8 of</w:t>
      </w:r>
    </w:p>
    <w:p w14:paraId="58E9FDAA" w14:textId="77777777" w:rsidR="00611345" w:rsidRDefault="00611345" w:rsidP="00611345">
      <w:pPr>
        <w:spacing w:after="0"/>
      </w:pPr>
      <w:r>
        <w:t>the SmPC by including pancytopenia as an adverse</w:t>
      </w:r>
    </w:p>
    <w:p w14:paraId="23B54631" w14:textId="77777777" w:rsidR="00611345" w:rsidRDefault="00611345" w:rsidP="00611345">
      <w:pPr>
        <w:spacing w:after="0"/>
      </w:pPr>
      <w:r>
        <w:t>reaction.</w:t>
      </w:r>
    </w:p>
    <w:p w14:paraId="7C527AB2" w14:textId="77777777" w:rsidR="00611345" w:rsidRDefault="00611345" w:rsidP="00611345">
      <w:pPr>
        <w:spacing w:after="0"/>
      </w:pPr>
      <w:r>
        <w:t>The level of evidence available with the previous PSUR was</w:t>
      </w:r>
    </w:p>
    <w:p w14:paraId="033A0803" w14:textId="77777777" w:rsidR="00611345" w:rsidRDefault="00611345" w:rsidP="00611345">
      <w:pPr>
        <w:spacing w:after="0"/>
      </w:pPr>
      <w:r>
        <w:t>sufficient to support adding increased sweating to the PI</w:t>
      </w:r>
    </w:p>
    <w:p w14:paraId="64520C9E" w14:textId="77777777" w:rsidR="00611345" w:rsidRDefault="00611345" w:rsidP="00611345">
      <w:pPr>
        <w:spacing w:after="0"/>
      </w:pPr>
      <w:r>
        <w:t>without a need for additional data.</w:t>
      </w:r>
    </w:p>
    <w:p w14:paraId="012CC8C7" w14:textId="77777777" w:rsidR="006C79F5" w:rsidRDefault="00611345" w:rsidP="00611345">
      <w:pPr>
        <w:spacing w:after="0"/>
      </w:pPr>
      <w:r>
        <w:t xml:space="preserve">The CHMP endorsed the MAH ́s frequency estimations of </w:t>
      </w:r>
    </w:p>
    <w:p w14:paraId="0B3AC7D8" w14:textId="05BB6560" w:rsidR="00611345" w:rsidRDefault="00611345" w:rsidP="00611345">
      <w:pPr>
        <w:spacing w:after="0"/>
      </w:pPr>
      <w:r>
        <w:t>both pancytopenia and excessive sweating and considered</w:t>
      </w:r>
    </w:p>
    <w:p w14:paraId="69115C7E" w14:textId="77777777" w:rsidR="00611345" w:rsidRDefault="00611345" w:rsidP="00611345">
      <w:pPr>
        <w:spacing w:after="0"/>
      </w:pPr>
      <w:r>
        <w:t>that these substantiated the frequency category “rare” for</w:t>
      </w:r>
    </w:p>
    <w:p w14:paraId="5A16425C" w14:textId="77777777" w:rsidR="00611345" w:rsidRDefault="00611345" w:rsidP="00611345">
      <w:pPr>
        <w:spacing w:after="0"/>
      </w:pPr>
      <w:r>
        <w:t>pancytopenia and “uncommon” for excessive sweating.</w:t>
      </w:r>
    </w:p>
    <w:p w14:paraId="22FCB58A" w14:textId="77777777" w:rsidR="00611345" w:rsidRDefault="00611345" w:rsidP="00611345">
      <w:pPr>
        <w:spacing w:after="0"/>
      </w:pPr>
      <w:r>
        <w:t>The CHMP also acknowledged that the MAH followed the</w:t>
      </w:r>
    </w:p>
    <w:p w14:paraId="53CD3B1C" w14:textId="77777777" w:rsidR="00611345" w:rsidRDefault="00611345" w:rsidP="00611345">
      <w:pPr>
        <w:spacing w:after="0"/>
      </w:pPr>
      <w:r>
        <w:t>SmPC guideline and estimated frequencies for all adverse</w:t>
      </w:r>
    </w:p>
    <w:p w14:paraId="0361820F" w14:textId="77777777" w:rsidR="00611345" w:rsidRDefault="00611345" w:rsidP="00611345">
      <w:pPr>
        <w:spacing w:after="0"/>
      </w:pPr>
      <w:r>
        <w:t>reactions previously categorised as frequency “not known”.</w:t>
      </w:r>
    </w:p>
    <w:p w14:paraId="4EC7279B" w14:textId="77777777" w:rsidR="00611345" w:rsidRDefault="00611345" w:rsidP="00611345">
      <w:pPr>
        <w:spacing w:after="0"/>
      </w:pPr>
      <w:r>
        <w:t>The CHMP endorsed the MAH ́s proposals for the new</w:t>
      </w:r>
    </w:p>
    <w:p w14:paraId="49473AF4" w14:textId="77777777" w:rsidR="00611345" w:rsidRDefault="00611345" w:rsidP="00611345">
      <w:pPr>
        <w:spacing w:after="0"/>
      </w:pPr>
      <w:r>
        <w:t>frequency categories and agreed on the update of section</w:t>
      </w:r>
    </w:p>
    <w:p w14:paraId="3A3EA42B" w14:textId="09879BFE" w:rsidR="00611345" w:rsidRDefault="00611345" w:rsidP="00611345">
      <w:pPr>
        <w:spacing w:after="0"/>
      </w:pPr>
      <w:r>
        <w:t xml:space="preserve">4.8 of the SmPC. </w:t>
      </w:r>
    </w:p>
    <w:p w14:paraId="32780A0F" w14:textId="4226B06D" w:rsidR="00611345" w:rsidRDefault="00611345" w:rsidP="00611345">
      <w:pPr>
        <w:spacing w:after="0"/>
      </w:pPr>
    </w:p>
    <w:p w14:paraId="614B0A4E" w14:textId="7473FF9B" w:rsidR="00611345" w:rsidRDefault="00611345" w:rsidP="00611345">
      <w:pPr>
        <w:spacing w:after="0"/>
      </w:pPr>
      <w:r>
        <w:t>--</w:t>
      </w:r>
    </w:p>
    <w:p w14:paraId="7F632B0E" w14:textId="77777777" w:rsidR="00611345" w:rsidRDefault="00611345" w:rsidP="00611345">
      <w:pPr>
        <w:spacing w:after="0"/>
      </w:pPr>
      <w:r w:rsidRPr="00611345">
        <w:t>27/06/2012</w:t>
      </w:r>
      <w:r>
        <w:t>: This update of Product Information followed a cumulative</w:t>
      </w:r>
    </w:p>
    <w:p w14:paraId="1A77BD3C" w14:textId="77777777" w:rsidR="00611345" w:rsidRDefault="00611345" w:rsidP="00611345">
      <w:pPr>
        <w:spacing w:after="0"/>
      </w:pPr>
      <w:r>
        <w:t>review of cases of autoimmune hepatitis and systemic</w:t>
      </w:r>
    </w:p>
    <w:p w14:paraId="7EA37817" w14:textId="77777777" w:rsidR="00611345" w:rsidRDefault="00611345" w:rsidP="00611345">
      <w:pPr>
        <w:spacing w:after="0"/>
      </w:pPr>
      <w:r>
        <w:t>lupus erythematosus in multiple sclerosis patients exposed</w:t>
      </w:r>
    </w:p>
    <w:p w14:paraId="60430DA1" w14:textId="77777777" w:rsidR="00611345" w:rsidRDefault="00611345" w:rsidP="00611345">
      <w:pPr>
        <w:spacing w:after="0"/>
      </w:pPr>
      <w:r>
        <w:t>to interferon-beta-1a. It was based on the company ́s</w:t>
      </w:r>
    </w:p>
    <w:p w14:paraId="076EBC53" w14:textId="77777777" w:rsidR="00611345" w:rsidRDefault="00611345" w:rsidP="00611345">
      <w:pPr>
        <w:spacing w:after="0"/>
      </w:pPr>
      <w:r>
        <w:t>internal safety database, pooled clinical trial database, the</w:t>
      </w:r>
    </w:p>
    <w:p w14:paraId="3E3B5FAB" w14:textId="77777777" w:rsidR="00611345" w:rsidRDefault="00611345" w:rsidP="00611345">
      <w:pPr>
        <w:spacing w:after="0"/>
      </w:pPr>
      <w:r>
        <w:t>FDA adverse event reporting system (AERS) database, as</w:t>
      </w:r>
    </w:p>
    <w:p w14:paraId="06D200B6" w14:textId="77777777" w:rsidR="00611345" w:rsidRDefault="00611345" w:rsidP="00611345">
      <w:pPr>
        <w:spacing w:after="0"/>
      </w:pPr>
      <w:r>
        <w:t>well as on a literature review. The CHMP considered that</w:t>
      </w:r>
    </w:p>
    <w:p w14:paraId="4171F493" w14:textId="77777777" w:rsidR="00611345" w:rsidRDefault="00611345" w:rsidP="00611345">
      <w:pPr>
        <w:spacing w:after="0"/>
      </w:pPr>
      <w:r>
        <w:t>the level of evidence available through safety reporting</w:t>
      </w:r>
    </w:p>
    <w:p w14:paraId="4BC0768E" w14:textId="77777777" w:rsidR="00611345" w:rsidRDefault="00611345" w:rsidP="00611345">
      <w:pPr>
        <w:spacing w:after="0"/>
      </w:pPr>
      <w:r>
        <w:t>allowed establishing a causal relationship with autoimmune</w:t>
      </w:r>
    </w:p>
    <w:p w14:paraId="3191068B" w14:textId="77777777" w:rsidR="00611345" w:rsidRDefault="00611345" w:rsidP="00611345">
      <w:pPr>
        <w:spacing w:after="0"/>
      </w:pPr>
      <w:r>
        <w:t>hepatitis and drug-induced lupus erythematosus and that it</w:t>
      </w:r>
    </w:p>
    <w:p w14:paraId="23B4DDFC" w14:textId="77777777" w:rsidR="00611345" w:rsidRDefault="00611345" w:rsidP="00611345">
      <w:pPr>
        <w:spacing w:after="0"/>
      </w:pPr>
      <w:r>
        <w:lastRenderedPageBreak/>
        <w:t>indicated increased risk of occurrence of these reactions in</w:t>
      </w:r>
    </w:p>
    <w:p w14:paraId="2121CB15" w14:textId="40499DD1" w:rsidR="00611345" w:rsidRDefault="00611345" w:rsidP="00611345">
      <w:pPr>
        <w:spacing w:after="0"/>
      </w:pPr>
      <w:r>
        <w:t>multiple sclerosis patients treated with Rebif.</w:t>
      </w:r>
    </w:p>
    <w:p w14:paraId="63382CF8" w14:textId="7D222252" w:rsidR="00611345" w:rsidRDefault="00611345" w:rsidP="00611345">
      <w:pPr>
        <w:spacing w:after="0"/>
      </w:pPr>
    </w:p>
    <w:p w14:paraId="218BAA23" w14:textId="2517FA15" w:rsidR="00611345" w:rsidRDefault="00611345" w:rsidP="00611345">
      <w:pPr>
        <w:spacing w:after="0"/>
      </w:pPr>
      <w:r>
        <w:t>--</w:t>
      </w:r>
    </w:p>
    <w:p w14:paraId="322F2355" w14:textId="77777777" w:rsidR="00611345" w:rsidRDefault="00611345" w:rsidP="00611345">
      <w:pPr>
        <w:spacing w:after="0"/>
      </w:pPr>
      <w:r w:rsidRPr="00611345">
        <w:t>06/08/2010</w:t>
      </w:r>
      <w:r>
        <w:t>: The product information was updated to include "hepatic</w:t>
      </w:r>
    </w:p>
    <w:p w14:paraId="556B5270" w14:textId="77777777" w:rsidR="00611345" w:rsidRDefault="00611345" w:rsidP="00611345">
      <w:pPr>
        <w:spacing w:after="0"/>
      </w:pPr>
      <w:r>
        <w:t>failure" in section 4.8 of the SmPC and to add information</w:t>
      </w:r>
    </w:p>
    <w:p w14:paraId="1146755F" w14:textId="77777777" w:rsidR="00611345" w:rsidRDefault="00611345" w:rsidP="00611345">
      <w:pPr>
        <w:spacing w:after="0"/>
      </w:pPr>
      <w:r>
        <w:t>on symptoms of severe liver problems in Section 4 of the</w:t>
      </w:r>
    </w:p>
    <w:p w14:paraId="57117974" w14:textId="77777777" w:rsidR="00611345" w:rsidRDefault="00611345" w:rsidP="00611345">
      <w:pPr>
        <w:spacing w:after="0"/>
      </w:pPr>
      <w:r>
        <w:t>Package Leaflet. The update was based on a CHMP</w:t>
      </w:r>
    </w:p>
    <w:p w14:paraId="546D3CF8" w14:textId="77777777" w:rsidR="00611345" w:rsidRDefault="00611345" w:rsidP="00611345">
      <w:pPr>
        <w:spacing w:after="0"/>
      </w:pPr>
      <w:r>
        <w:t>requirement following assessment of the PSURs 19 and 20</w:t>
      </w:r>
    </w:p>
    <w:p w14:paraId="7DC8CA29" w14:textId="77777777" w:rsidR="00611345" w:rsidRDefault="00611345" w:rsidP="00611345">
      <w:pPr>
        <w:spacing w:after="0"/>
      </w:pPr>
      <w:r>
        <w:t>and was further supported by a summary of available</w:t>
      </w:r>
    </w:p>
    <w:p w14:paraId="1B007F75" w14:textId="77777777" w:rsidR="00611345" w:rsidRDefault="00611345" w:rsidP="00611345">
      <w:pPr>
        <w:spacing w:after="0"/>
      </w:pPr>
      <w:r>
        <w:t>safety data presented by the MAH.</w:t>
      </w:r>
    </w:p>
    <w:p w14:paraId="7D266904" w14:textId="77777777" w:rsidR="00611345" w:rsidRDefault="00611345" w:rsidP="00611345">
      <w:pPr>
        <w:spacing w:after="0"/>
      </w:pPr>
      <w:r>
        <w:t>In addition, the MAH took the opportunity to review the</w:t>
      </w:r>
    </w:p>
    <w:p w14:paraId="4597C387" w14:textId="77777777" w:rsidR="00611345" w:rsidRDefault="00611345" w:rsidP="00611345">
      <w:pPr>
        <w:spacing w:after="0"/>
      </w:pPr>
      <w:r>
        <w:t>SOC order within the table in section 4.8 of the SmPC to be</w:t>
      </w:r>
    </w:p>
    <w:p w14:paraId="6A34DC4B" w14:textId="77777777" w:rsidR="00611345" w:rsidRDefault="00611345" w:rsidP="00611345">
      <w:pPr>
        <w:spacing w:after="0"/>
      </w:pPr>
      <w:r>
        <w:t>compliant with the order defined in the SmPC guideline and</w:t>
      </w:r>
    </w:p>
    <w:p w14:paraId="08F429AD" w14:textId="77777777" w:rsidR="00611345" w:rsidRDefault="00611345" w:rsidP="00611345">
      <w:pPr>
        <w:spacing w:after="0"/>
      </w:pPr>
      <w:r>
        <w:t>to replace "hair loss" by "alopecia", as "alopecia" is the</w:t>
      </w:r>
    </w:p>
    <w:p w14:paraId="23E1AF87" w14:textId="16C33CD7" w:rsidR="00611345" w:rsidRDefault="00611345" w:rsidP="00611345">
      <w:pPr>
        <w:spacing w:after="0"/>
      </w:pPr>
      <w:r>
        <w:t>preferred term (PT) and includes "hair loss"</w:t>
      </w:r>
    </w:p>
    <w:p w14:paraId="5B01D374" w14:textId="7019F0B0" w:rsidR="00611345" w:rsidRDefault="00611345" w:rsidP="00611345">
      <w:pPr>
        <w:spacing w:after="0"/>
      </w:pPr>
    </w:p>
    <w:p w14:paraId="2E339131" w14:textId="1FE9F909" w:rsidR="00611345" w:rsidRDefault="00611345" w:rsidP="00611345">
      <w:pPr>
        <w:spacing w:after="0"/>
      </w:pPr>
      <w:r>
        <w:t>--</w:t>
      </w:r>
    </w:p>
    <w:p w14:paraId="6E038F88" w14:textId="19A63644" w:rsidR="00611345" w:rsidRDefault="00611345" w:rsidP="00611345">
      <w:pPr>
        <w:spacing w:after="0"/>
      </w:pPr>
    </w:p>
    <w:p w14:paraId="5A30FC55" w14:textId="77777777" w:rsidR="00611345" w:rsidRDefault="00611345" w:rsidP="00611345">
      <w:pPr>
        <w:spacing w:after="0"/>
      </w:pPr>
      <w:r w:rsidRPr="00611345">
        <w:t>22/04/2009</w:t>
      </w:r>
      <w:r>
        <w:t>: The MAH conducted cumulative reviews of the safety</w:t>
      </w:r>
    </w:p>
    <w:p w14:paraId="244D30E2" w14:textId="77777777" w:rsidR="00611345" w:rsidRDefault="00611345" w:rsidP="00611345">
      <w:pPr>
        <w:spacing w:after="0"/>
      </w:pPr>
      <w:r>
        <w:t>information available regarding the risk of multiple sclerosis</w:t>
      </w:r>
    </w:p>
    <w:p w14:paraId="40590613" w14:textId="77777777" w:rsidR="00611345" w:rsidRDefault="00611345" w:rsidP="00611345">
      <w:pPr>
        <w:spacing w:after="0"/>
      </w:pPr>
      <w:r>
        <w:t>pseudo-relapses, retinal vascular disorder, thrombotic</w:t>
      </w:r>
    </w:p>
    <w:p w14:paraId="324AD4AE" w14:textId="77777777" w:rsidR="00611345" w:rsidRDefault="00611345" w:rsidP="00611345">
      <w:pPr>
        <w:spacing w:after="0"/>
      </w:pPr>
      <w:r>
        <w:t>thrombocytopenic purpura and haemolytic uremic</w:t>
      </w:r>
    </w:p>
    <w:p w14:paraId="7BCDDF83" w14:textId="77777777" w:rsidR="00611345" w:rsidRDefault="00611345" w:rsidP="00611345">
      <w:pPr>
        <w:spacing w:after="0"/>
      </w:pPr>
      <w:r>
        <w:t>syndrome, in patients treated with Rebif. This resulted in</w:t>
      </w:r>
    </w:p>
    <w:p w14:paraId="2404AFA9" w14:textId="77777777" w:rsidR="00611345" w:rsidRDefault="00611345" w:rsidP="00611345">
      <w:pPr>
        <w:spacing w:after="0"/>
      </w:pPr>
      <w:r>
        <w:t>the inclusion of these syndromes and disorders as possible</w:t>
      </w:r>
    </w:p>
    <w:p w14:paraId="62D39EAA" w14:textId="77777777" w:rsidR="00611345" w:rsidRDefault="00611345" w:rsidP="00611345">
      <w:pPr>
        <w:spacing w:after="0"/>
      </w:pPr>
      <w:r>
        <w:t>adverse drug reactions associated with Rebif treatment.</w:t>
      </w:r>
    </w:p>
    <w:p w14:paraId="6B7AC968" w14:textId="77777777" w:rsidR="00611345" w:rsidRDefault="00611345" w:rsidP="00611345">
      <w:pPr>
        <w:spacing w:after="0"/>
      </w:pPr>
      <w:r>
        <w:t>The frequency for such adverse drug reactions could not be</w:t>
      </w:r>
    </w:p>
    <w:p w14:paraId="187C8AE0" w14:textId="7CAA505A" w:rsidR="00611345" w:rsidRDefault="00611345" w:rsidP="00611345">
      <w:pPr>
        <w:spacing w:after="0"/>
      </w:pPr>
      <w:r>
        <w:t xml:space="preserve">established based on the information available. </w:t>
      </w:r>
    </w:p>
    <w:p w14:paraId="2CD9991D" w14:textId="32D3B04C" w:rsidR="00611345" w:rsidRDefault="00611345" w:rsidP="00611345">
      <w:pPr>
        <w:spacing w:after="0"/>
      </w:pPr>
    </w:p>
    <w:p w14:paraId="7E1F2760" w14:textId="64A99F9C" w:rsidR="00611345" w:rsidRDefault="00611345" w:rsidP="00611345">
      <w:pPr>
        <w:spacing w:after="0"/>
      </w:pPr>
      <w:r>
        <w:t>--</w:t>
      </w:r>
    </w:p>
    <w:p w14:paraId="5A5D1736" w14:textId="40504FE7" w:rsidR="00BB10F6" w:rsidRDefault="00BB10F6" w:rsidP="00611345">
      <w:pPr>
        <w:spacing w:after="0"/>
      </w:pPr>
    </w:p>
    <w:p w14:paraId="795D2481" w14:textId="77777777" w:rsidR="00BB10F6" w:rsidRDefault="00BB10F6" w:rsidP="00BB10F6">
      <w:pPr>
        <w:spacing w:after="0"/>
      </w:pPr>
      <w:r w:rsidRPr="00BB10F6">
        <w:t>20/05/2008</w:t>
      </w:r>
      <w:r>
        <w:t>: Based on their review of the available information and on</w:t>
      </w:r>
    </w:p>
    <w:p w14:paraId="054E6519" w14:textId="77777777" w:rsidR="00BB10F6" w:rsidRDefault="00BB10F6" w:rsidP="00BB10F6">
      <w:pPr>
        <w:spacing w:after="0"/>
      </w:pPr>
      <w:r>
        <w:t>the basis of a re-evaluation of the benefit/risk balance, the</w:t>
      </w:r>
    </w:p>
    <w:p w14:paraId="2B8929DA" w14:textId="77777777" w:rsidR="00BB10F6" w:rsidRDefault="00BB10F6" w:rsidP="00BB10F6">
      <w:pPr>
        <w:spacing w:after="0"/>
      </w:pPr>
      <w:r>
        <w:t>CHMP was of the opinion that the quality, safety and</w:t>
      </w:r>
    </w:p>
    <w:p w14:paraId="48176BC2" w14:textId="77777777" w:rsidR="00BB10F6" w:rsidRDefault="00BB10F6" w:rsidP="00BB10F6">
      <w:pPr>
        <w:spacing w:after="0"/>
      </w:pPr>
      <w:r>
        <w:t>efficacy continue to be adequately and sufficiently</w:t>
      </w:r>
    </w:p>
    <w:p w14:paraId="458DC9F8" w14:textId="77777777" w:rsidR="00BB10F6" w:rsidRDefault="00BB10F6" w:rsidP="00BB10F6">
      <w:pPr>
        <w:spacing w:after="0"/>
      </w:pPr>
      <w:r>
        <w:t>demonstrated. Therefore, the benefit/risk profile of Rebif</w:t>
      </w:r>
    </w:p>
    <w:p w14:paraId="6B89F66C" w14:textId="77777777" w:rsidR="00BB10F6" w:rsidRDefault="00BB10F6" w:rsidP="00BB10F6">
      <w:pPr>
        <w:spacing w:after="0"/>
      </w:pPr>
      <w:r>
        <w:t>continues to be favourable. However, the review of safety</w:t>
      </w:r>
    </w:p>
    <w:p w14:paraId="26BF8A71" w14:textId="77777777" w:rsidR="00BB10F6" w:rsidRDefault="00BB10F6" w:rsidP="00BB10F6">
      <w:pPr>
        <w:spacing w:after="0"/>
      </w:pPr>
      <w:r>
        <w:t>data led to the inclusion of "dyspnoea" and "Stevens-</w:t>
      </w:r>
    </w:p>
    <w:p w14:paraId="1D2ED89C" w14:textId="77777777" w:rsidR="00BB10F6" w:rsidRDefault="00BB10F6" w:rsidP="00BB10F6">
      <w:pPr>
        <w:spacing w:after="0"/>
      </w:pPr>
      <w:r>
        <w:t>Johnson syndrome" in section 4.8 of the SPC. The MAH will</w:t>
      </w:r>
    </w:p>
    <w:p w14:paraId="29389E0F" w14:textId="77777777" w:rsidR="00BB10F6" w:rsidRDefault="00BB10F6" w:rsidP="00BB10F6">
      <w:pPr>
        <w:spacing w:after="0"/>
      </w:pPr>
      <w:r>
        <w:t>continue to submit yearly periodic safety update reports</w:t>
      </w:r>
    </w:p>
    <w:p w14:paraId="7C146090" w14:textId="77777777" w:rsidR="00BB10F6" w:rsidRDefault="00BB10F6" w:rsidP="00BB10F6">
      <w:pPr>
        <w:spacing w:after="0"/>
      </w:pPr>
      <w:r>
        <w:t>until otherwise specified by the CHMP. The CHMP</w:t>
      </w:r>
    </w:p>
    <w:p w14:paraId="6416303A" w14:textId="0FBD61DE" w:rsidR="00BB10F6" w:rsidRDefault="00BB10F6" w:rsidP="00BB10F6">
      <w:pPr>
        <w:spacing w:after="0"/>
      </w:pPr>
      <w:r>
        <w:t>recommended the renewal of the Marketing Authorisation f</w:t>
      </w:r>
      <w:r w:rsidRPr="00BB10F6">
        <w:t>or Rebif with unlimited validity</w:t>
      </w:r>
      <w:r>
        <w:t>.</w:t>
      </w:r>
    </w:p>
    <w:p w14:paraId="6F60460E" w14:textId="5B6C8111" w:rsidR="00BB10F6" w:rsidRDefault="00BB10F6" w:rsidP="00BB10F6">
      <w:pPr>
        <w:spacing w:after="0"/>
      </w:pPr>
    </w:p>
    <w:p w14:paraId="6CA05E49" w14:textId="467D743A" w:rsidR="00BB10F6" w:rsidRDefault="00BB10F6" w:rsidP="00BB10F6">
      <w:pPr>
        <w:spacing w:after="0"/>
      </w:pPr>
      <w:r>
        <w:t>--</w:t>
      </w:r>
    </w:p>
    <w:p w14:paraId="55E0AF0F" w14:textId="27A8B20F" w:rsidR="00BB10F6" w:rsidRDefault="00BB10F6" w:rsidP="00BB10F6">
      <w:pPr>
        <w:spacing w:after="0"/>
      </w:pPr>
    </w:p>
    <w:p w14:paraId="2D8622F7" w14:textId="77777777" w:rsidR="00BB10F6" w:rsidRDefault="00BB10F6" w:rsidP="00BB10F6">
      <w:pPr>
        <w:spacing w:after="0"/>
      </w:pPr>
      <w:r w:rsidRPr="00BB10F6">
        <w:t>14/12/2007</w:t>
      </w:r>
      <w:r>
        <w:t>: The 48-week results of study 25632 submitted for the</w:t>
      </w:r>
    </w:p>
    <w:p w14:paraId="0DF81ACD" w14:textId="77777777" w:rsidR="00BB10F6" w:rsidRDefault="00BB10F6" w:rsidP="00BB10F6">
      <w:pPr>
        <w:spacing w:after="0"/>
      </w:pPr>
      <w:r>
        <w:t>approval of the HSA-free formulation of Rebif showed an</w:t>
      </w:r>
    </w:p>
    <w:p w14:paraId="0228DF60" w14:textId="77777777" w:rsidR="00BB10F6" w:rsidRDefault="00BB10F6" w:rsidP="00BB10F6">
      <w:pPr>
        <w:spacing w:after="0"/>
      </w:pPr>
      <w:r>
        <w:t>incidence rate of injection site reactions following</w:t>
      </w:r>
    </w:p>
    <w:p w14:paraId="750E227D" w14:textId="77777777" w:rsidR="00BB10F6" w:rsidRDefault="00BB10F6" w:rsidP="00BB10F6">
      <w:pPr>
        <w:spacing w:after="0"/>
      </w:pPr>
      <w:r>
        <w:lastRenderedPageBreak/>
        <w:t>administration of 44 mcg subcutaneously, three times per</w:t>
      </w:r>
    </w:p>
    <w:p w14:paraId="3A4E1398" w14:textId="77777777" w:rsidR="00BB10F6" w:rsidRDefault="00BB10F6" w:rsidP="00BB10F6">
      <w:pPr>
        <w:spacing w:after="0"/>
      </w:pPr>
      <w:r>
        <w:t>week, of 29.6 % in 260 subjects. This represents a lower</w:t>
      </w:r>
    </w:p>
    <w:p w14:paraId="60527446" w14:textId="77777777" w:rsidR="00BB10F6" w:rsidRDefault="00BB10F6" w:rsidP="00BB10F6">
      <w:pPr>
        <w:spacing w:after="0"/>
      </w:pPr>
      <w:r>
        <w:t>incidence rate than the 80 to 90% observed in the</w:t>
      </w:r>
    </w:p>
    <w:p w14:paraId="56439B43" w14:textId="77777777" w:rsidR="00BB10F6" w:rsidRDefault="00BB10F6" w:rsidP="00BB10F6">
      <w:pPr>
        <w:spacing w:after="0"/>
      </w:pPr>
      <w:r>
        <w:t>historical comparator studies or "Historical cohort," which</w:t>
      </w:r>
    </w:p>
    <w:p w14:paraId="7AA84083" w14:textId="77777777" w:rsidR="00BB10F6" w:rsidRDefault="00BB10F6" w:rsidP="00BB10F6">
      <w:pPr>
        <w:spacing w:after="0"/>
      </w:pPr>
      <w:r>
        <w:t>comprised 727 subjects treated with the previous HSA-</w:t>
      </w:r>
    </w:p>
    <w:p w14:paraId="23BFE65D" w14:textId="77777777" w:rsidR="00BB10F6" w:rsidRDefault="00BB10F6" w:rsidP="00BB10F6">
      <w:pPr>
        <w:spacing w:after="0"/>
      </w:pPr>
      <w:r>
        <w:t>containing formulation of Rebif at 44 mcg subcutaneously</w:t>
      </w:r>
    </w:p>
    <w:p w14:paraId="0DC3BA9A" w14:textId="58D358EF" w:rsidR="00BB10F6" w:rsidRDefault="00BB10F6" w:rsidP="00BB10F6">
      <w:pPr>
        <w:spacing w:after="0"/>
      </w:pPr>
      <w:r>
        <w:t xml:space="preserve">three times per week in three controlled studies. </w:t>
      </w:r>
    </w:p>
    <w:p w14:paraId="3F07A3F0" w14:textId="2329033C" w:rsidR="00BB10F6" w:rsidRDefault="00BB10F6" w:rsidP="00BB10F6">
      <w:pPr>
        <w:spacing w:after="0"/>
      </w:pPr>
    </w:p>
    <w:p w14:paraId="776DCE7D" w14:textId="5B3BB5AB" w:rsidR="00BB10F6" w:rsidRDefault="00BB10F6" w:rsidP="00BB10F6">
      <w:pPr>
        <w:spacing w:after="0"/>
      </w:pPr>
      <w:r>
        <w:t>--</w:t>
      </w:r>
    </w:p>
    <w:p w14:paraId="1CB5375E" w14:textId="6F19C73E" w:rsidR="00BB10F6" w:rsidRDefault="00BB10F6" w:rsidP="00BB10F6">
      <w:pPr>
        <w:spacing w:after="0"/>
      </w:pPr>
    </w:p>
    <w:p w14:paraId="7723F485" w14:textId="77777777" w:rsidR="00BB10F6" w:rsidRDefault="00BB10F6" w:rsidP="00BB10F6">
      <w:pPr>
        <w:spacing w:after="0"/>
      </w:pPr>
      <w:r w:rsidRPr="00BB10F6">
        <w:t>01/09/2006</w:t>
      </w:r>
      <w:r>
        <w:t>: Further to the request of the CHMP, the CHMP</w:t>
      </w:r>
    </w:p>
    <w:p w14:paraId="39688329" w14:textId="77777777" w:rsidR="00BB10F6" w:rsidRDefault="00BB10F6" w:rsidP="00BB10F6">
      <w:pPr>
        <w:spacing w:after="0"/>
      </w:pPr>
      <w:r>
        <w:t>Pharmacovigilance Working Party (</w:t>
      </w:r>
      <w:proofErr w:type="spellStart"/>
      <w:r>
        <w:t>PhVWP</w:t>
      </w:r>
      <w:proofErr w:type="spellEnd"/>
      <w:r>
        <w:t>) performed a</w:t>
      </w:r>
    </w:p>
    <w:p w14:paraId="797C84A6" w14:textId="77777777" w:rsidR="00BB10F6" w:rsidRDefault="00BB10F6" w:rsidP="00BB10F6">
      <w:pPr>
        <w:spacing w:after="0"/>
      </w:pPr>
      <w:r>
        <w:t xml:space="preserve">class review of all </w:t>
      </w:r>
      <w:proofErr w:type="gramStart"/>
      <w:r>
        <w:t>interferons</w:t>
      </w:r>
      <w:proofErr w:type="gramEnd"/>
      <w:r>
        <w:t xml:space="preserve"> beta authorised in the</w:t>
      </w:r>
    </w:p>
    <w:p w14:paraId="38F9BC75" w14:textId="77777777" w:rsidR="00BB10F6" w:rsidRDefault="00BB10F6" w:rsidP="00BB10F6">
      <w:pPr>
        <w:spacing w:after="0"/>
      </w:pPr>
      <w:r>
        <w:t>treatment of multiple sclerosis to provide recommendations</w:t>
      </w:r>
    </w:p>
    <w:p w14:paraId="5FBF9A8F" w14:textId="77777777" w:rsidR="00BB10F6" w:rsidRDefault="00BB10F6" w:rsidP="00BB10F6">
      <w:pPr>
        <w:spacing w:after="0"/>
      </w:pPr>
      <w:r>
        <w:t>on the need for and the nature of changes to the current</w:t>
      </w:r>
    </w:p>
    <w:p w14:paraId="549959C8" w14:textId="77777777" w:rsidR="00BB10F6" w:rsidRDefault="00BB10F6" w:rsidP="00BB10F6">
      <w:pPr>
        <w:spacing w:after="0"/>
      </w:pPr>
      <w:r>
        <w:t>contraindications in pregnancy, patients with a history of</w:t>
      </w:r>
    </w:p>
    <w:p w14:paraId="1A1634D6" w14:textId="77777777" w:rsidR="00BB10F6" w:rsidRDefault="00BB10F6" w:rsidP="00BB10F6">
      <w:pPr>
        <w:spacing w:after="0"/>
      </w:pPr>
      <w:r>
        <w:t>severe depressive disorders and/or suicidal ideation and</w:t>
      </w:r>
    </w:p>
    <w:p w14:paraId="60F5ADC9" w14:textId="77777777" w:rsidR="00BB10F6" w:rsidRDefault="00BB10F6" w:rsidP="00BB10F6">
      <w:pPr>
        <w:spacing w:after="0"/>
      </w:pPr>
      <w:r>
        <w:t>patients with epilepsy not adequately controlled by</w:t>
      </w:r>
    </w:p>
    <w:p w14:paraId="4C18F320" w14:textId="77777777" w:rsidR="00BB10F6" w:rsidRDefault="00BB10F6" w:rsidP="00BB10F6">
      <w:pPr>
        <w:spacing w:after="0"/>
      </w:pPr>
      <w:r>
        <w:t>treatment. Based on the data submitted by the MAH</w:t>
      </w:r>
    </w:p>
    <w:p w14:paraId="7433FD2C" w14:textId="77777777" w:rsidR="00BB10F6" w:rsidRDefault="00BB10F6" w:rsidP="00BB10F6">
      <w:pPr>
        <w:spacing w:after="0"/>
      </w:pPr>
      <w:r>
        <w:t>(</w:t>
      </w:r>
      <w:proofErr w:type="gramStart"/>
      <w:r>
        <w:t>clinical</w:t>
      </w:r>
      <w:proofErr w:type="gramEnd"/>
      <w:r>
        <w:t xml:space="preserve"> trial, post-marketing data and literature) and the</w:t>
      </w:r>
    </w:p>
    <w:p w14:paraId="09846611" w14:textId="77777777" w:rsidR="00BB10F6" w:rsidRDefault="00BB10F6" w:rsidP="00BB10F6">
      <w:pPr>
        <w:spacing w:after="0"/>
      </w:pPr>
      <w:proofErr w:type="spellStart"/>
      <w:r>
        <w:t>PhVWP</w:t>
      </w:r>
      <w:proofErr w:type="spellEnd"/>
      <w:r>
        <w:t xml:space="preserve"> recommendations, the CHMP agreed on the</w:t>
      </w:r>
    </w:p>
    <w:p w14:paraId="374C4F00" w14:textId="77777777" w:rsidR="00BB10F6" w:rsidRDefault="00BB10F6" w:rsidP="00BB10F6">
      <w:pPr>
        <w:spacing w:after="0"/>
      </w:pPr>
      <w:r>
        <w:t>following changes:</w:t>
      </w:r>
    </w:p>
    <w:p w14:paraId="057F8F04" w14:textId="77777777" w:rsidR="00BB10F6" w:rsidRDefault="00BB10F6" w:rsidP="00BB10F6">
      <w:pPr>
        <w:spacing w:after="0"/>
      </w:pPr>
      <w:r>
        <w:t>- Removal of the absolute contraindication (section</w:t>
      </w:r>
    </w:p>
    <w:p w14:paraId="099E4208" w14:textId="77777777" w:rsidR="00BB10F6" w:rsidRDefault="00BB10F6" w:rsidP="00BB10F6">
      <w:pPr>
        <w:spacing w:after="0"/>
      </w:pPr>
      <w:r>
        <w:t>4.3) in patients with epilepsy not adequately controlled</w:t>
      </w:r>
    </w:p>
    <w:p w14:paraId="1757DB84" w14:textId="77777777" w:rsidR="00BB10F6" w:rsidRDefault="00BB10F6" w:rsidP="00BB10F6">
      <w:pPr>
        <w:spacing w:after="0"/>
      </w:pPr>
      <w:r>
        <w:t>with treatment and revision of section 4.4 of the SPC to</w:t>
      </w:r>
    </w:p>
    <w:p w14:paraId="208D09AF" w14:textId="77777777" w:rsidR="00BB10F6" w:rsidRDefault="00BB10F6" w:rsidP="00BB10F6">
      <w:pPr>
        <w:spacing w:after="0"/>
      </w:pPr>
      <w:r>
        <w:t>indicate that interferon beta should be used with caution in</w:t>
      </w:r>
    </w:p>
    <w:p w14:paraId="5DB930ED" w14:textId="77777777" w:rsidR="00BB10F6" w:rsidRDefault="00BB10F6" w:rsidP="00BB10F6">
      <w:pPr>
        <w:spacing w:after="0"/>
      </w:pPr>
      <w:r>
        <w:t>patients with epilepsy, particularly if their epilepsy is not</w:t>
      </w:r>
    </w:p>
    <w:p w14:paraId="2496D056" w14:textId="77777777" w:rsidR="00BB10F6" w:rsidRDefault="00BB10F6" w:rsidP="00BB10F6">
      <w:pPr>
        <w:spacing w:after="0"/>
      </w:pPr>
      <w:r>
        <w:t>adequately controlled</w:t>
      </w:r>
    </w:p>
    <w:p w14:paraId="784D9656" w14:textId="77777777" w:rsidR="00BB10F6" w:rsidRDefault="00BB10F6" w:rsidP="00BB10F6">
      <w:pPr>
        <w:spacing w:after="0"/>
      </w:pPr>
      <w:r>
        <w:t>- Revision of the contraindication (section 4.3) in pregnancy to indicate that initiation of treatment in</w:t>
      </w:r>
    </w:p>
    <w:p w14:paraId="538D5E5F" w14:textId="77777777" w:rsidR="00BB10F6" w:rsidRDefault="00BB10F6" w:rsidP="00BB10F6">
      <w:pPr>
        <w:spacing w:after="0"/>
      </w:pPr>
      <w:r>
        <w:t>pregnancy is contraindicated but leave some room for</w:t>
      </w:r>
    </w:p>
    <w:p w14:paraId="716A4989" w14:textId="77777777" w:rsidR="00BB10F6" w:rsidRDefault="00BB10F6" w:rsidP="00BB10F6">
      <w:pPr>
        <w:spacing w:after="0"/>
      </w:pPr>
      <w:r>
        <w:t>clinical judgement as to whether a patient who becomes</w:t>
      </w:r>
    </w:p>
    <w:p w14:paraId="1594039C" w14:textId="77777777" w:rsidR="00BB10F6" w:rsidRDefault="00BB10F6" w:rsidP="00BB10F6">
      <w:pPr>
        <w:spacing w:after="0"/>
      </w:pPr>
      <w:r>
        <w:t>pregnant while taking interferon beta should continue or</w:t>
      </w:r>
    </w:p>
    <w:p w14:paraId="6A5B2E71" w14:textId="77777777" w:rsidR="00BB10F6" w:rsidRDefault="00BB10F6" w:rsidP="00BB10F6">
      <w:pPr>
        <w:spacing w:after="0"/>
      </w:pPr>
      <w:r>
        <w:t>stop treatment. Consequential changes were made to</w:t>
      </w:r>
    </w:p>
    <w:p w14:paraId="47119CC9" w14:textId="77777777" w:rsidR="00BB10F6" w:rsidRDefault="00BB10F6" w:rsidP="00BB10F6">
      <w:pPr>
        <w:spacing w:after="0"/>
      </w:pPr>
      <w:r>
        <w:t>section 4.6 of the SPC.</w:t>
      </w:r>
    </w:p>
    <w:p w14:paraId="09B8AEE7" w14:textId="77777777" w:rsidR="00BB10F6" w:rsidRDefault="00BB10F6" w:rsidP="00BB10F6">
      <w:pPr>
        <w:spacing w:after="0"/>
      </w:pPr>
      <w:r>
        <w:t>- Revision of the contraindication (section 4.3) in</w:t>
      </w:r>
    </w:p>
    <w:p w14:paraId="0D1A8C44" w14:textId="77777777" w:rsidR="00BB10F6" w:rsidRDefault="00BB10F6" w:rsidP="00BB10F6">
      <w:pPr>
        <w:spacing w:after="0"/>
      </w:pPr>
      <w:r>
        <w:t>patients with a history of severe depressive disorders</w:t>
      </w:r>
    </w:p>
    <w:p w14:paraId="4E83D6F5" w14:textId="77777777" w:rsidR="00BB10F6" w:rsidRDefault="00BB10F6" w:rsidP="00BB10F6">
      <w:pPr>
        <w:spacing w:after="0"/>
      </w:pPr>
      <w:r>
        <w:t>and/or suicidal ideation, to indicate that treatment of</w:t>
      </w:r>
    </w:p>
    <w:p w14:paraId="32DA4F12" w14:textId="77777777" w:rsidR="00BB10F6" w:rsidRDefault="00BB10F6" w:rsidP="00BB10F6">
      <w:pPr>
        <w:spacing w:after="0"/>
      </w:pPr>
      <w:r>
        <w:t>patients with current severe depression and/or suicidal</w:t>
      </w:r>
    </w:p>
    <w:p w14:paraId="7C1825C0" w14:textId="77777777" w:rsidR="00BB10F6" w:rsidRDefault="00BB10F6" w:rsidP="00BB10F6">
      <w:pPr>
        <w:spacing w:after="0"/>
      </w:pPr>
      <w:r>
        <w:t>ideation is contraindicated. Consequential changes were</w:t>
      </w:r>
    </w:p>
    <w:p w14:paraId="456D2A24" w14:textId="77777777" w:rsidR="00BB10F6" w:rsidRDefault="00BB10F6" w:rsidP="00BB10F6">
      <w:pPr>
        <w:spacing w:after="0"/>
      </w:pPr>
      <w:r>
        <w:t>made to section 4.4 of the SPC.</w:t>
      </w:r>
    </w:p>
    <w:p w14:paraId="0AAA7BCE" w14:textId="1EDEB487" w:rsidR="00BB10F6" w:rsidRDefault="00BB10F6" w:rsidP="00BB10F6">
      <w:pPr>
        <w:spacing w:after="0"/>
      </w:pPr>
      <w:r>
        <w:t xml:space="preserve">The Package Leaflet was amended accordingly. </w:t>
      </w:r>
    </w:p>
    <w:p w14:paraId="60C05464" w14:textId="19648ECC" w:rsidR="00BB10F6" w:rsidRDefault="00BB10F6" w:rsidP="00BB10F6">
      <w:pPr>
        <w:spacing w:after="0"/>
      </w:pPr>
      <w:r>
        <w:t>--</w:t>
      </w:r>
    </w:p>
    <w:p w14:paraId="41C6EB18" w14:textId="0735E066" w:rsidR="00BB10F6" w:rsidRDefault="00BB10F6" w:rsidP="00BB10F6">
      <w:pPr>
        <w:spacing w:after="0"/>
      </w:pPr>
    </w:p>
    <w:p w14:paraId="735AFA73" w14:textId="77777777" w:rsidR="00BB10F6" w:rsidRDefault="00BB10F6" w:rsidP="00BB10F6">
      <w:pPr>
        <w:spacing w:after="0"/>
      </w:pPr>
      <w:r w:rsidRPr="00BB10F6">
        <w:t>01/09/2006</w:t>
      </w:r>
      <w:r>
        <w:t>: The safety information of the SPC was updated based on</w:t>
      </w:r>
    </w:p>
    <w:p w14:paraId="0446FD46" w14:textId="77777777" w:rsidR="00BB10F6" w:rsidRDefault="00BB10F6" w:rsidP="00BB10F6">
      <w:pPr>
        <w:spacing w:after="0"/>
      </w:pPr>
      <w:r>
        <w:t>literature and post-marketing data provided by the MAH.</w:t>
      </w:r>
    </w:p>
    <w:p w14:paraId="326F24B2" w14:textId="77777777" w:rsidR="00BB10F6" w:rsidRDefault="00BB10F6" w:rsidP="00BB10F6">
      <w:pPr>
        <w:spacing w:after="0"/>
      </w:pPr>
      <w:r>
        <w:t>The recommendations for the monitoring of haematological</w:t>
      </w:r>
    </w:p>
    <w:p w14:paraId="6CDF9854" w14:textId="77777777" w:rsidR="00BB10F6" w:rsidRDefault="00BB10F6" w:rsidP="00BB10F6">
      <w:pPr>
        <w:spacing w:after="0"/>
      </w:pPr>
      <w:r>
        <w:t>laboratory parameters were amended in section 4.4 to</w:t>
      </w:r>
    </w:p>
    <w:p w14:paraId="58E3BC49" w14:textId="77777777" w:rsidR="00BB10F6" w:rsidRDefault="00BB10F6" w:rsidP="00BB10F6">
      <w:pPr>
        <w:spacing w:after="0"/>
      </w:pPr>
      <w:r>
        <w:t>provide more information on the timing of blood cell</w:t>
      </w:r>
    </w:p>
    <w:p w14:paraId="33BB1A68" w14:textId="77777777" w:rsidR="00BB10F6" w:rsidRDefault="00BB10F6" w:rsidP="00BB10F6">
      <w:pPr>
        <w:spacing w:after="0"/>
      </w:pPr>
      <w:r>
        <w:lastRenderedPageBreak/>
        <w:t>counts. Section 4.8 was updated as follows:</w:t>
      </w:r>
    </w:p>
    <w:p w14:paraId="2BF0D21D" w14:textId="77777777" w:rsidR="00BB10F6" w:rsidRDefault="00BB10F6" w:rsidP="00BB10F6">
      <w:pPr>
        <w:spacing w:after="0"/>
      </w:pPr>
      <w:r>
        <w:t>- Change of frequency of the adverse reactions</w:t>
      </w:r>
    </w:p>
    <w:p w14:paraId="50B95D34" w14:textId="77777777" w:rsidR="00BB10F6" w:rsidRDefault="00BB10F6" w:rsidP="00BB10F6">
      <w:pPr>
        <w:spacing w:after="0"/>
      </w:pPr>
      <w:r>
        <w:t xml:space="preserve">neutropenia, lymphopenia, </w:t>
      </w:r>
      <w:proofErr w:type="spellStart"/>
      <w:r>
        <w:t>leucopenia</w:t>
      </w:r>
      <w:proofErr w:type="spellEnd"/>
      <w:r>
        <w:t>, thrombocytopenia</w:t>
      </w:r>
    </w:p>
    <w:p w14:paraId="72397658" w14:textId="77777777" w:rsidR="00BB10F6" w:rsidRDefault="00BB10F6" w:rsidP="00BB10F6">
      <w:pPr>
        <w:spacing w:after="0"/>
      </w:pPr>
      <w:r>
        <w:t xml:space="preserve">and </w:t>
      </w:r>
      <w:proofErr w:type="spellStart"/>
      <w:r>
        <w:t>anemia</w:t>
      </w:r>
      <w:proofErr w:type="spellEnd"/>
      <w:r>
        <w:t xml:space="preserve"> from 'Common' to 'Very common"</w:t>
      </w:r>
    </w:p>
    <w:p w14:paraId="217E01BC" w14:textId="77777777" w:rsidR="00BB10F6" w:rsidRDefault="00BB10F6" w:rsidP="00BB10F6">
      <w:pPr>
        <w:spacing w:after="0"/>
      </w:pPr>
      <w:r>
        <w:t>- Addition of "injection site infections, including</w:t>
      </w:r>
    </w:p>
    <w:p w14:paraId="7A155532" w14:textId="77777777" w:rsidR="00BB10F6" w:rsidRDefault="00BB10F6" w:rsidP="00BB10F6">
      <w:pPr>
        <w:spacing w:after="0"/>
      </w:pPr>
      <w:r>
        <w:t>cellulitis"</w:t>
      </w:r>
    </w:p>
    <w:p w14:paraId="1F725F72" w14:textId="77777777" w:rsidR="00BB10F6" w:rsidRDefault="00BB10F6" w:rsidP="00BB10F6">
      <w:pPr>
        <w:spacing w:after="0"/>
      </w:pPr>
      <w:r>
        <w:t>- Update of the endocrine disorders related</w:t>
      </w:r>
    </w:p>
    <w:p w14:paraId="01C44AB2" w14:textId="77777777" w:rsidR="00BB10F6" w:rsidRDefault="00BB10F6" w:rsidP="00BB10F6">
      <w:pPr>
        <w:spacing w:after="0"/>
      </w:pPr>
      <w:r>
        <w:t>information with the replacement of the wording "elevated</w:t>
      </w:r>
    </w:p>
    <w:p w14:paraId="62723D91" w14:textId="77777777" w:rsidR="00BB10F6" w:rsidRDefault="00BB10F6" w:rsidP="00BB10F6">
      <w:pPr>
        <w:spacing w:after="0"/>
      </w:pPr>
      <w:r>
        <w:t>T3 and T4, reduced TSH" by "most often presenting as</w:t>
      </w:r>
    </w:p>
    <w:p w14:paraId="38EE5304" w14:textId="53B0D8A4" w:rsidR="00BB10F6" w:rsidRDefault="00BB10F6" w:rsidP="00BB10F6">
      <w:pPr>
        <w:spacing w:after="0"/>
      </w:pPr>
      <w:r>
        <w:t>hypothyroidism or hyperthyroidism"</w:t>
      </w:r>
    </w:p>
    <w:p w14:paraId="204AF96D" w14:textId="77777777" w:rsidR="00611345" w:rsidRPr="00245594" w:rsidRDefault="00611345" w:rsidP="00611345">
      <w:pPr>
        <w:spacing w:after="0"/>
      </w:pPr>
    </w:p>
    <w:p w14:paraId="23B264D4" w14:textId="7E8A6075" w:rsidR="00B545FB" w:rsidRPr="00534FDE" w:rsidRDefault="00A0185B" w:rsidP="006C79F5">
      <w:pPr>
        <w:pStyle w:val="Heading2"/>
        <w:rPr>
          <w:i/>
          <w:iCs/>
        </w:rPr>
      </w:pPr>
      <w:bookmarkStart w:id="5" w:name="_Toc104798909"/>
      <w:r w:rsidRPr="00B545FB">
        <w:t>Interferon beta-1b</w:t>
      </w:r>
      <w:r w:rsidR="00B545FB" w:rsidRPr="00B545FB">
        <w:t xml:space="preserve">: </w:t>
      </w:r>
      <w:proofErr w:type="spellStart"/>
      <w:r w:rsidR="00B545FB" w:rsidRPr="00534FDE">
        <w:rPr>
          <w:i/>
          <w:iCs/>
        </w:rPr>
        <w:t>Betaferon</w:t>
      </w:r>
      <w:bookmarkEnd w:id="5"/>
      <w:proofErr w:type="spellEnd"/>
      <w:r w:rsidRPr="00534FDE">
        <w:rPr>
          <w:i/>
          <w:iCs/>
        </w:rPr>
        <w:t xml:space="preserve"> </w:t>
      </w:r>
    </w:p>
    <w:p w14:paraId="1DA36FB7" w14:textId="77777777" w:rsidR="006C79F5" w:rsidRPr="006C79F5" w:rsidRDefault="006C79F5" w:rsidP="006C79F5"/>
    <w:p w14:paraId="40871543" w14:textId="329ED0F8" w:rsidR="00B545FB" w:rsidRPr="00B545FB" w:rsidRDefault="00B545FB" w:rsidP="00B545FB">
      <w:r>
        <w:t xml:space="preserve">Since authorization: </w:t>
      </w:r>
      <w:hyperlink r:id="rId22" w:history="1">
        <w:r w:rsidRPr="002731D6">
          <w:rPr>
            <w:rStyle w:val="Hyperlink"/>
          </w:rPr>
          <w:t>https://www.ema.europa.eu/en/documents/procedural-steps-after/betaferon-epar-procedural-steps-taken-scientific-information-after-authorisation_en.pdf</w:t>
        </w:r>
      </w:hyperlink>
      <w:r>
        <w:t xml:space="preserve"> </w:t>
      </w:r>
    </w:p>
    <w:p w14:paraId="006407A1" w14:textId="77777777" w:rsidR="00B545FB" w:rsidRDefault="00B545FB" w:rsidP="00B545FB">
      <w:r>
        <w:t xml:space="preserve">There are a number of changes, please refer to link above. </w:t>
      </w:r>
    </w:p>
    <w:p w14:paraId="18856BEE" w14:textId="44B4C939" w:rsidR="00B545FB" w:rsidRDefault="00B545FB" w:rsidP="00B545FB">
      <w:r>
        <w:t>Of note:</w:t>
      </w:r>
    </w:p>
    <w:p w14:paraId="4CD5940F" w14:textId="77777777" w:rsidR="00B545FB" w:rsidRDefault="00B545FB" w:rsidP="00B545FB">
      <w:pPr>
        <w:spacing w:after="0"/>
      </w:pPr>
      <w:r w:rsidRPr="00B545FB">
        <w:t>22/10/2021</w:t>
      </w:r>
      <w:r>
        <w:t>: Section 4.4 (subsection Thrombotic microangiopathy</w:t>
      </w:r>
    </w:p>
    <w:p w14:paraId="389DE468" w14:textId="77777777" w:rsidR="00B545FB" w:rsidRDefault="00B545FB" w:rsidP="00B545FB">
      <w:pPr>
        <w:spacing w:after="0"/>
      </w:pPr>
      <w:r>
        <w:t>(TMA)) has been updated (subsection TMA and Haemolytic</w:t>
      </w:r>
    </w:p>
    <w:p w14:paraId="1C504545" w14:textId="77777777" w:rsidR="00B545FB" w:rsidRDefault="00B545FB" w:rsidP="00B545FB">
      <w:pPr>
        <w:spacing w:after="0"/>
      </w:pPr>
      <w:r>
        <w:t>anaemia [HA]) to inform that cases of HA not associated</w:t>
      </w:r>
    </w:p>
    <w:p w14:paraId="4E7E3996" w14:textId="77777777" w:rsidR="00B545FB" w:rsidRDefault="00B545FB" w:rsidP="00B545FB">
      <w:pPr>
        <w:spacing w:after="0"/>
      </w:pPr>
      <w:r>
        <w:t>with TMA have been reported with interferon beta products.</w:t>
      </w:r>
    </w:p>
    <w:p w14:paraId="5B74214F" w14:textId="77777777" w:rsidR="00B545FB" w:rsidRDefault="00B545FB" w:rsidP="00B545FB">
      <w:pPr>
        <w:spacing w:after="0"/>
      </w:pPr>
      <w:r>
        <w:t>Cases may occur several weeks to several years after</w:t>
      </w:r>
    </w:p>
    <w:p w14:paraId="112EAA2B" w14:textId="77777777" w:rsidR="00B545FB" w:rsidRDefault="00B545FB" w:rsidP="00B545FB">
      <w:pPr>
        <w:spacing w:after="0"/>
      </w:pPr>
      <w:r>
        <w:t>starting treatment with interferon beta and may be severe</w:t>
      </w:r>
    </w:p>
    <w:p w14:paraId="4642FEA0" w14:textId="77777777" w:rsidR="00B545FB" w:rsidRDefault="00B545FB" w:rsidP="00B545FB">
      <w:pPr>
        <w:spacing w:after="0"/>
      </w:pPr>
      <w:r>
        <w:t>(Life-threatening and fatal cases have been reported).</w:t>
      </w:r>
    </w:p>
    <w:p w14:paraId="132F1326" w14:textId="77777777" w:rsidR="00B545FB" w:rsidRDefault="00B545FB" w:rsidP="00B545FB">
      <w:pPr>
        <w:spacing w:after="0"/>
      </w:pPr>
      <w:r>
        <w:t>Section 4.8 has been updated to inform that the most</w:t>
      </w:r>
    </w:p>
    <w:p w14:paraId="0FFE562D" w14:textId="77777777" w:rsidR="00B545FB" w:rsidRDefault="00B545FB" w:rsidP="00B545FB">
      <w:pPr>
        <w:spacing w:after="0"/>
      </w:pPr>
      <w:r>
        <w:t>serious adverse drug reactions (ADRs) include TMA and HA</w:t>
      </w:r>
    </w:p>
    <w:p w14:paraId="2B3CA6C2" w14:textId="77777777" w:rsidR="00B545FB" w:rsidRDefault="00B545FB" w:rsidP="00B545FB">
      <w:pPr>
        <w:spacing w:after="0"/>
      </w:pPr>
      <w:r>
        <w:t>which has been added to the list of ADRs with frequency</w:t>
      </w:r>
    </w:p>
    <w:p w14:paraId="50D632F9" w14:textId="77777777" w:rsidR="00B545FB" w:rsidRDefault="00B545FB" w:rsidP="00B545FB">
      <w:pPr>
        <w:spacing w:after="0"/>
      </w:pPr>
      <w:r>
        <w:t>unknown.</w:t>
      </w:r>
    </w:p>
    <w:p w14:paraId="446E53C6" w14:textId="77777777" w:rsidR="00B545FB" w:rsidRDefault="00B545FB" w:rsidP="00B545FB">
      <w:pPr>
        <w:spacing w:after="0"/>
      </w:pPr>
      <w:r>
        <w:t>For more information, please refer to the Summary of</w:t>
      </w:r>
    </w:p>
    <w:p w14:paraId="669856A9" w14:textId="57909A2F" w:rsidR="00B545FB" w:rsidRDefault="00B545FB" w:rsidP="00B545FB">
      <w:pPr>
        <w:spacing w:after="0"/>
      </w:pPr>
      <w:r>
        <w:t>Product Characteristics.</w:t>
      </w:r>
    </w:p>
    <w:p w14:paraId="50222C22" w14:textId="46E149CB" w:rsidR="00245594" w:rsidRDefault="00B545FB" w:rsidP="00245594">
      <w:r w:rsidRPr="00B545FB">
        <w:t>--</w:t>
      </w:r>
    </w:p>
    <w:p w14:paraId="3C5A9FCA" w14:textId="77777777" w:rsidR="00287B0C" w:rsidRDefault="0033214E" w:rsidP="00287B0C">
      <w:pPr>
        <w:spacing w:after="0"/>
      </w:pPr>
      <w:r w:rsidRPr="0033214E">
        <w:t>08/09/2016</w:t>
      </w:r>
      <w:r>
        <w:t xml:space="preserve">: </w:t>
      </w:r>
      <w:r w:rsidR="00287B0C">
        <w:t>This grouped procedure amends sections 4.8 of the SmPC</w:t>
      </w:r>
    </w:p>
    <w:p w14:paraId="7BB0D16F" w14:textId="77777777" w:rsidR="00287B0C" w:rsidRDefault="00287B0C" w:rsidP="00287B0C">
      <w:pPr>
        <w:spacing w:after="0"/>
      </w:pPr>
      <w:r>
        <w:t>in order to add "drug-induced lupus erythematosus" (DILE)</w:t>
      </w:r>
    </w:p>
    <w:p w14:paraId="495F9359" w14:textId="77777777" w:rsidR="00287B0C" w:rsidRDefault="00287B0C" w:rsidP="00287B0C">
      <w:pPr>
        <w:spacing w:after="0"/>
      </w:pPr>
      <w:r>
        <w:t>as ADR and "pulmonary arterial hypertension" (PAH)</w:t>
      </w:r>
    </w:p>
    <w:p w14:paraId="72A49944" w14:textId="77777777" w:rsidR="00287B0C" w:rsidRDefault="00287B0C" w:rsidP="00287B0C">
      <w:pPr>
        <w:spacing w:after="0"/>
      </w:pPr>
      <w:r>
        <w:t>following PRAC recommendation. The Package Leaflet is</w:t>
      </w:r>
    </w:p>
    <w:p w14:paraId="2F98C109" w14:textId="056F76E7" w:rsidR="00287B0C" w:rsidRDefault="00287B0C" w:rsidP="00287B0C">
      <w:pPr>
        <w:spacing w:after="0"/>
      </w:pPr>
      <w:r>
        <w:t>updated accordingly.</w:t>
      </w:r>
    </w:p>
    <w:p w14:paraId="20313145" w14:textId="1A3BE422" w:rsidR="00287B0C" w:rsidRDefault="00287B0C" w:rsidP="00287B0C">
      <w:pPr>
        <w:spacing w:after="0"/>
      </w:pPr>
    </w:p>
    <w:p w14:paraId="06ABAB72" w14:textId="37558A2C" w:rsidR="00287B0C" w:rsidRDefault="00287B0C" w:rsidP="00287B0C">
      <w:pPr>
        <w:spacing w:after="0"/>
      </w:pPr>
      <w:r>
        <w:t>--</w:t>
      </w:r>
    </w:p>
    <w:p w14:paraId="0CE78742" w14:textId="77777777" w:rsidR="00287B0C" w:rsidRDefault="00287B0C" w:rsidP="00287B0C">
      <w:pPr>
        <w:spacing w:after="0"/>
      </w:pPr>
      <w:r w:rsidRPr="00287B0C">
        <w:t>26/08/2014</w:t>
      </w:r>
      <w:r>
        <w:t>: The MAH conducted a cumulative search for cases of</w:t>
      </w:r>
    </w:p>
    <w:p w14:paraId="293CB496" w14:textId="77777777" w:rsidR="00287B0C" w:rsidRDefault="00287B0C" w:rsidP="00287B0C">
      <w:pPr>
        <w:spacing w:after="0"/>
      </w:pPr>
      <w:r>
        <w:t>thrombotic microangiopathy. Further to the PRAC review of</w:t>
      </w:r>
    </w:p>
    <w:p w14:paraId="18E8AE85" w14:textId="77777777" w:rsidR="00287B0C" w:rsidRDefault="00287B0C" w:rsidP="00287B0C">
      <w:pPr>
        <w:spacing w:after="0"/>
      </w:pPr>
      <w:r>
        <w:t>these data, the CHMP concurred with the PRAC ́s view that</w:t>
      </w:r>
    </w:p>
    <w:p w14:paraId="317BD77E" w14:textId="77777777" w:rsidR="00287B0C" w:rsidRDefault="00287B0C" w:rsidP="00287B0C">
      <w:pPr>
        <w:spacing w:after="0"/>
      </w:pPr>
      <w:r>
        <w:t>there might be a causal relationship between the class of</w:t>
      </w:r>
    </w:p>
    <w:p w14:paraId="7706D8EF" w14:textId="77777777" w:rsidR="00287B0C" w:rsidRDefault="00287B0C" w:rsidP="00287B0C">
      <w:pPr>
        <w:spacing w:after="0"/>
      </w:pPr>
      <w:r>
        <w:t>interferons and thrombotic microangiopathy, and that the</w:t>
      </w:r>
    </w:p>
    <w:p w14:paraId="2E366092" w14:textId="77777777" w:rsidR="006C79F5" w:rsidRDefault="00287B0C" w:rsidP="00287B0C">
      <w:pPr>
        <w:spacing w:after="0"/>
      </w:pPr>
      <w:r>
        <w:t xml:space="preserve">PI should be updated accordingly. Furthermore, the CHMP </w:t>
      </w:r>
    </w:p>
    <w:p w14:paraId="4D33136B" w14:textId="22017D73" w:rsidR="00287B0C" w:rsidRDefault="00287B0C" w:rsidP="00287B0C">
      <w:pPr>
        <w:spacing w:after="0"/>
      </w:pPr>
      <w:r>
        <w:t>concurred that a warning about the risk of thrombotic</w:t>
      </w:r>
    </w:p>
    <w:p w14:paraId="3B7CE044" w14:textId="77777777" w:rsidR="00287B0C" w:rsidRDefault="00287B0C" w:rsidP="00287B0C">
      <w:pPr>
        <w:spacing w:after="0"/>
      </w:pPr>
      <w:r>
        <w:lastRenderedPageBreak/>
        <w:t>microangiopathy, including recommendations for</w:t>
      </w:r>
    </w:p>
    <w:p w14:paraId="40B455DD" w14:textId="77777777" w:rsidR="00287B0C" w:rsidRDefault="00287B0C" w:rsidP="00287B0C">
      <w:pPr>
        <w:spacing w:after="0"/>
      </w:pPr>
      <w:r>
        <w:t>monitoring of early symptoms, prompt treatment and</w:t>
      </w:r>
    </w:p>
    <w:p w14:paraId="614ECBDC" w14:textId="77777777" w:rsidR="00287B0C" w:rsidRDefault="00287B0C" w:rsidP="00287B0C">
      <w:pPr>
        <w:spacing w:after="0"/>
      </w:pPr>
      <w:r>
        <w:t>discontinuation of interferon beta products when the</w:t>
      </w:r>
    </w:p>
    <w:p w14:paraId="26EFA930" w14:textId="77777777" w:rsidR="00287B0C" w:rsidRDefault="00287B0C" w:rsidP="00287B0C">
      <w:pPr>
        <w:spacing w:after="0"/>
      </w:pPr>
      <w:r>
        <w:t>reaction occurs, should be added to the Product</w:t>
      </w:r>
    </w:p>
    <w:p w14:paraId="67A293F9" w14:textId="69DA8982" w:rsidR="00287B0C" w:rsidRDefault="00287B0C" w:rsidP="00287B0C">
      <w:pPr>
        <w:spacing w:after="0"/>
      </w:pPr>
      <w:r>
        <w:t>Information.</w:t>
      </w:r>
    </w:p>
    <w:p w14:paraId="74924DA3" w14:textId="3CDC78A3" w:rsidR="00287B0C" w:rsidRDefault="00287B0C" w:rsidP="00287B0C">
      <w:pPr>
        <w:spacing w:after="0"/>
      </w:pPr>
      <w:r>
        <w:t>--</w:t>
      </w:r>
    </w:p>
    <w:p w14:paraId="69C2D2C0" w14:textId="77777777" w:rsidR="00287B0C" w:rsidRDefault="00287B0C" w:rsidP="00287B0C">
      <w:pPr>
        <w:spacing w:after="0"/>
      </w:pPr>
      <w:r w:rsidRPr="00287B0C">
        <w:t>26/08/2014</w:t>
      </w:r>
      <w:r>
        <w:t>: The MAH conducted a cumulative search for cases of</w:t>
      </w:r>
    </w:p>
    <w:p w14:paraId="721C08E8" w14:textId="77777777" w:rsidR="00287B0C" w:rsidRDefault="00287B0C" w:rsidP="00287B0C">
      <w:pPr>
        <w:spacing w:after="0"/>
      </w:pPr>
      <w:r>
        <w:t xml:space="preserve">glomerulosclerosis and nephrotic syndrome. Further to </w:t>
      </w:r>
      <w:proofErr w:type="gramStart"/>
      <w:r>
        <w:t>their</w:t>
      </w:r>
      <w:proofErr w:type="gramEnd"/>
    </w:p>
    <w:p w14:paraId="388EA178" w14:textId="77777777" w:rsidR="00287B0C" w:rsidRDefault="00287B0C" w:rsidP="00287B0C">
      <w:pPr>
        <w:spacing w:after="0"/>
      </w:pPr>
      <w:r>
        <w:t>review of these data, the CHMP was of the opinion that</w:t>
      </w:r>
    </w:p>
    <w:p w14:paraId="52D555BB" w14:textId="77777777" w:rsidR="00287B0C" w:rsidRDefault="00287B0C" w:rsidP="00287B0C">
      <w:pPr>
        <w:spacing w:after="0"/>
      </w:pPr>
      <w:r>
        <w:t>there might be a causal relationship between interferon</w:t>
      </w:r>
    </w:p>
    <w:p w14:paraId="5D46B84E" w14:textId="77777777" w:rsidR="00287B0C" w:rsidRDefault="00287B0C" w:rsidP="00287B0C">
      <w:pPr>
        <w:spacing w:after="0"/>
      </w:pPr>
      <w:r>
        <w:t>beta 1-b and glomerulosclerosis and nephrotic syndrome,</w:t>
      </w:r>
    </w:p>
    <w:p w14:paraId="7D196C36" w14:textId="77777777" w:rsidR="00287B0C" w:rsidRDefault="00287B0C" w:rsidP="00287B0C">
      <w:pPr>
        <w:spacing w:after="0"/>
      </w:pPr>
      <w:r>
        <w:t>and that the PI should be updated accordingly.</w:t>
      </w:r>
    </w:p>
    <w:p w14:paraId="535958B0" w14:textId="77777777" w:rsidR="00287B0C" w:rsidRDefault="00287B0C" w:rsidP="00287B0C">
      <w:pPr>
        <w:spacing w:after="0"/>
      </w:pPr>
      <w:r>
        <w:t>Furthermore, the CHMP concluded that a warning about the</w:t>
      </w:r>
    </w:p>
    <w:p w14:paraId="25AC488F" w14:textId="77777777" w:rsidR="00287B0C" w:rsidRDefault="00287B0C" w:rsidP="00287B0C">
      <w:pPr>
        <w:spacing w:after="0"/>
      </w:pPr>
      <w:r>
        <w:t>risk of nephrotic syndrome (including examples of</w:t>
      </w:r>
    </w:p>
    <w:p w14:paraId="5D6849A6" w14:textId="77777777" w:rsidR="00287B0C" w:rsidRDefault="00287B0C" w:rsidP="00287B0C">
      <w:pPr>
        <w:spacing w:after="0"/>
      </w:pPr>
      <w:r>
        <w:t>underlying conditions) and a recommendation to</w:t>
      </w:r>
    </w:p>
    <w:p w14:paraId="04DE4BE3" w14:textId="77777777" w:rsidR="00287B0C" w:rsidRDefault="00287B0C" w:rsidP="00287B0C">
      <w:pPr>
        <w:spacing w:after="0"/>
      </w:pPr>
      <w:r>
        <w:t>periodically assess renal function were of relevance to the</w:t>
      </w:r>
    </w:p>
    <w:p w14:paraId="710CD5E9" w14:textId="798A045A" w:rsidR="00287B0C" w:rsidRDefault="00287B0C" w:rsidP="00287B0C">
      <w:pPr>
        <w:spacing w:after="0"/>
      </w:pPr>
      <w:r>
        <w:t>prescriber and should be added to the SmPC.</w:t>
      </w:r>
    </w:p>
    <w:p w14:paraId="3ED5DD1E" w14:textId="11B45475" w:rsidR="00287B0C" w:rsidRDefault="00287B0C" w:rsidP="00287B0C">
      <w:pPr>
        <w:spacing w:after="0"/>
      </w:pPr>
      <w:r>
        <w:t>--</w:t>
      </w:r>
    </w:p>
    <w:p w14:paraId="4FFDA5AA" w14:textId="77777777" w:rsidR="00287B0C" w:rsidRDefault="00287B0C" w:rsidP="00287B0C">
      <w:pPr>
        <w:spacing w:after="0"/>
      </w:pPr>
      <w:r w:rsidRPr="00287B0C">
        <w:t>25/05/2012</w:t>
      </w:r>
      <w:r>
        <w:t xml:space="preserve">: In order to adapt </w:t>
      </w:r>
      <w:proofErr w:type="spellStart"/>
      <w:r>
        <w:t>Betaferon</w:t>
      </w:r>
      <w:proofErr w:type="spellEnd"/>
      <w:r>
        <w:t xml:space="preserve"> Product Information to the</w:t>
      </w:r>
    </w:p>
    <w:p w14:paraId="50C94FAF" w14:textId="77777777" w:rsidR="00287B0C" w:rsidRDefault="00287B0C" w:rsidP="00287B0C">
      <w:pPr>
        <w:spacing w:after="0"/>
      </w:pPr>
      <w:r>
        <w:t>current Corporate Core Data Sheet, the MAH proposed to</w:t>
      </w:r>
    </w:p>
    <w:p w14:paraId="5602E01D" w14:textId="77777777" w:rsidR="00287B0C" w:rsidRDefault="00287B0C" w:rsidP="00287B0C">
      <w:pPr>
        <w:spacing w:after="0"/>
      </w:pPr>
      <w:r>
        <w:t>update section 4.8 of the SmPC with adding adverse</w:t>
      </w:r>
    </w:p>
    <w:p w14:paraId="475C95D2" w14:textId="77777777" w:rsidR="00287B0C" w:rsidRDefault="00287B0C" w:rsidP="00287B0C">
      <w:pPr>
        <w:spacing w:after="0"/>
      </w:pPr>
      <w:r>
        <w:t>reactions based on the post-marketing reporting. The CHMP</w:t>
      </w:r>
    </w:p>
    <w:p w14:paraId="45EC7899" w14:textId="77777777" w:rsidR="00287B0C" w:rsidRDefault="00287B0C" w:rsidP="00287B0C">
      <w:pPr>
        <w:spacing w:after="0"/>
      </w:pPr>
      <w:r>
        <w:t>considered the MAH ́s assessment of causality for</w:t>
      </w:r>
    </w:p>
    <w:p w14:paraId="1BDB6139" w14:textId="77777777" w:rsidR="00287B0C" w:rsidRDefault="00287B0C" w:rsidP="00287B0C">
      <w:pPr>
        <w:spacing w:after="0"/>
      </w:pPr>
      <w:r>
        <w:t>arthralgia, diarrhoea, dizziness, menorrhagia,</w:t>
      </w:r>
    </w:p>
    <w:p w14:paraId="4A2D80CD" w14:textId="77777777" w:rsidR="00287B0C" w:rsidRDefault="00287B0C" w:rsidP="00287B0C">
      <w:pPr>
        <w:spacing w:after="0"/>
      </w:pPr>
      <w:r>
        <w:t>vasodilatation and weight increased and concluded that</w:t>
      </w:r>
    </w:p>
    <w:p w14:paraId="4EB3220C" w14:textId="77777777" w:rsidR="00287B0C" w:rsidRDefault="00287B0C" w:rsidP="00287B0C">
      <w:pPr>
        <w:spacing w:after="0"/>
      </w:pPr>
      <w:r>
        <w:t>adding these reactions into section 4.8 of the SmPC was</w:t>
      </w:r>
    </w:p>
    <w:p w14:paraId="492DFD93" w14:textId="77777777" w:rsidR="00287B0C" w:rsidRDefault="00287B0C" w:rsidP="00287B0C">
      <w:pPr>
        <w:spacing w:after="0"/>
      </w:pPr>
      <w:r>
        <w:t>justified, since these events were considered as “possibly</w:t>
      </w:r>
    </w:p>
    <w:p w14:paraId="0465DABB" w14:textId="77777777" w:rsidR="00287B0C" w:rsidRDefault="00287B0C" w:rsidP="00287B0C">
      <w:pPr>
        <w:spacing w:after="0"/>
      </w:pPr>
      <w:r>
        <w:t>related”. The CHMP was also of the view that “weight</w:t>
      </w:r>
    </w:p>
    <w:p w14:paraId="5284E1BE" w14:textId="77777777" w:rsidR="00287B0C" w:rsidRDefault="00287B0C" w:rsidP="00287B0C">
      <w:pPr>
        <w:spacing w:after="0"/>
      </w:pPr>
      <w:r>
        <w:t>decreased” can be moved from section “Investigation” to</w:t>
      </w:r>
    </w:p>
    <w:p w14:paraId="4ED51D80" w14:textId="77777777" w:rsidR="00287B0C" w:rsidRDefault="00287B0C" w:rsidP="00287B0C">
      <w:pPr>
        <w:spacing w:after="0"/>
      </w:pPr>
      <w:r>
        <w:t>section “Metabolism and nutrition disorder” and that the</w:t>
      </w:r>
    </w:p>
    <w:p w14:paraId="60D98B6B" w14:textId="77777777" w:rsidR="00287B0C" w:rsidRDefault="00287B0C" w:rsidP="00287B0C">
      <w:pPr>
        <w:spacing w:after="0"/>
      </w:pPr>
      <w:r>
        <w:t>following terms: capillary leak syndrome, hepatic injury and</w:t>
      </w:r>
    </w:p>
    <w:p w14:paraId="14C6727F" w14:textId="77777777" w:rsidR="00287B0C" w:rsidRDefault="00287B0C" w:rsidP="00287B0C">
      <w:pPr>
        <w:spacing w:after="0"/>
      </w:pPr>
      <w:r>
        <w:t>hepatic failure, already captured in section 4.4, can also be</w:t>
      </w:r>
    </w:p>
    <w:p w14:paraId="1C2337D3" w14:textId="77777777" w:rsidR="00287B0C" w:rsidRDefault="00287B0C" w:rsidP="00287B0C">
      <w:pPr>
        <w:spacing w:after="0"/>
      </w:pPr>
      <w:r>
        <w:t>listed in section 4.8 of the SmPC. Following a request from</w:t>
      </w:r>
    </w:p>
    <w:p w14:paraId="0E214A49" w14:textId="77777777" w:rsidR="00287B0C" w:rsidRDefault="00287B0C" w:rsidP="00287B0C">
      <w:pPr>
        <w:spacing w:after="0"/>
      </w:pPr>
      <w:r>
        <w:t>the CHMP, adverse reaction frequencies in table 2 were</w:t>
      </w:r>
    </w:p>
    <w:p w14:paraId="2E2B8193" w14:textId="77777777" w:rsidR="00287B0C" w:rsidRDefault="00287B0C" w:rsidP="00287B0C">
      <w:pPr>
        <w:spacing w:after="0"/>
      </w:pPr>
      <w:r>
        <w:t>updated based on incidence rates of the pooled clinical trial</w:t>
      </w:r>
    </w:p>
    <w:p w14:paraId="4E18BB42" w14:textId="604C959E" w:rsidR="00287B0C" w:rsidRDefault="00287B0C" w:rsidP="00287B0C">
      <w:pPr>
        <w:spacing w:after="0"/>
      </w:pPr>
      <w:r>
        <w:t xml:space="preserve">data, when feasible. </w:t>
      </w:r>
    </w:p>
    <w:p w14:paraId="7514AA1C" w14:textId="1BC1E1BC" w:rsidR="00287B0C" w:rsidRDefault="00287B0C" w:rsidP="00287B0C">
      <w:pPr>
        <w:spacing w:after="0"/>
      </w:pPr>
      <w:r>
        <w:t>--</w:t>
      </w:r>
    </w:p>
    <w:p w14:paraId="6685EE52" w14:textId="77777777" w:rsidR="00F74F67" w:rsidRDefault="00287B0C" w:rsidP="00F74F67">
      <w:pPr>
        <w:spacing w:after="0"/>
      </w:pPr>
      <w:r w:rsidRPr="00287B0C">
        <w:t>01/06/2006</w:t>
      </w:r>
      <w:r>
        <w:t xml:space="preserve">: </w:t>
      </w:r>
      <w:r w:rsidR="00F74F67">
        <w:t>The contra-indications in pregnancy, patients with a history</w:t>
      </w:r>
    </w:p>
    <w:p w14:paraId="3B14A578" w14:textId="77777777" w:rsidR="00F74F67" w:rsidRDefault="00F74F67" w:rsidP="00F74F67">
      <w:pPr>
        <w:spacing w:after="0"/>
      </w:pPr>
      <w:r>
        <w:t>of severe depressive disorders and/or suicidal ideation, any</w:t>
      </w:r>
    </w:p>
    <w:p w14:paraId="221CB2BB" w14:textId="77777777" w:rsidR="00F74F67" w:rsidRDefault="00F74F67" w:rsidP="00F74F67">
      <w:pPr>
        <w:spacing w:after="0"/>
      </w:pPr>
      <w:r>
        <w:t>patients with epilepsy not adequately controlled by</w:t>
      </w:r>
    </w:p>
    <w:p w14:paraId="42016402" w14:textId="77777777" w:rsidR="00F74F67" w:rsidRDefault="00F74F67" w:rsidP="00F74F67">
      <w:pPr>
        <w:spacing w:after="0"/>
      </w:pPr>
      <w:r>
        <w:t xml:space="preserve">treatment </w:t>
      </w:r>
      <w:proofErr w:type="gramStart"/>
      <w:r>
        <w:t>were</w:t>
      </w:r>
      <w:proofErr w:type="gramEnd"/>
      <w:r>
        <w:t xml:space="preserve"> also reviewed, with consequential</w:t>
      </w:r>
    </w:p>
    <w:p w14:paraId="4A6683C8" w14:textId="77777777" w:rsidR="00F74F67" w:rsidRDefault="00F74F67" w:rsidP="00F74F67">
      <w:pPr>
        <w:spacing w:after="0"/>
      </w:pPr>
      <w:r>
        <w:t>amendments of sections 4.3, 4.4 and 4.6. As these</w:t>
      </w:r>
    </w:p>
    <w:p w14:paraId="59DA6E70" w14:textId="77777777" w:rsidR="00F74F67" w:rsidRDefault="00F74F67" w:rsidP="00F74F67">
      <w:pPr>
        <w:spacing w:after="0"/>
      </w:pPr>
      <w:r>
        <w:t xml:space="preserve">contraindications are common to all </w:t>
      </w:r>
      <w:proofErr w:type="gramStart"/>
      <w:r>
        <w:t>interferons</w:t>
      </w:r>
      <w:proofErr w:type="gramEnd"/>
      <w:r>
        <w:t xml:space="preserve"> beta, the</w:t>
      </w:r>
    </w:p>
    <w:p w14:paraId="2BCBB646" w14:textId="77777777" w:rsidR="00F74F67" w:rsidRDefault="00F74F67" w:rsidP="00F74F67">
      <w:pPr>
        <w:spacing w:after="0"/>
      </w:pPr>
      <w:r>
        <w:t>CHMP Pharmacovigilance Working Party (</w:t>
      </w:r>
      <w:proofErr w:type="spellStart"/>
      <w:r>
        <w:t>PhVWP</w:t>
      </w:r>
      <w:proofErr w:type="spellEnd"/>
      <w:r>
        <w:t>)</w:t>
      </w:r>
    </w:p>
    <w:p w14:paraId="411C715F" w14:textId="77777777" w:rsidR="00F74F67" w:rsidRDefault="00F74F67" w:rsidP="00F74F67">
      <w:pPr>
        <w:spacing w:after="0"/>
      </w:pPr>
      <w:r>
        <w:t xml:space="preserve">performed a class review of all </w:t>
      </w:r>
      <w:proofErr w:type="gramStart"/>
      <w:r>
        <w:t>interferons</w:t>
      </w:r>
      <w:proofErr w:type="gramEnd"/>
      <w:r>
        <w:t xml:space="preserve"> beta authorised</w:t>
      </w:r>
    </w:p>
    <w:p w14:paraId="7B363076" w14:textId="77777777" w:rsidR="00F74F67" w:rsidRDefault="00F74F67" w:rsidP="00F74F67">
      <w:pPr>
        <w:spacing w:after="0"/>
      </w:pPr>
      <w:r>
        <w:t>to provide recommendations on the need for and the</w:t>
      </w:r>
    </w:p>
    <w:p w14:paraId="68EE0EBC" w14:textId="77777777" w:rsidR="00F74F67" w:rsidRDefault="00F74F67" w:rsidP="00F74F67">
      <w:pPr>
        <w:spacing w:after="0"/>
      </w:pPr>
      <w:r>
        <w:t>nature of changes to the current contraindications. Based</w:t>
      </w:r>
    </w:p>
    <w:p w14:paraId="0FB8237B" w14:textId="77777777" w:rsidR="00F74F67" w:rsidRDefault="00F74F67" w:rsidP="00F74F67">
      <w:pPr>
        <w:spacing w:after="0"/>
      </w:pPr>
      <w:r>
        <w:t>on the data submitted by the MAH (clinical trial, post-</w:t>
      </w:r>
    </w:p>
    <w:p w14:paraId="2BAEBEC6" w14:textId="77777777" w:rsidR="006C79F5" w:rsidRDefault="00F74F67" w:rsidP="00F74F67">
      <w:pPr>
        <w:spacing w:after="0"/>
      </w:pPr>
      <w:r>
        <w:lastRenderedPageBreak/>
        <w:t xml:space="preserve">marketing data and literature) and the </w:t>
      </w:r>
      <w:proofErr w:type="spellStart"/>
      <w:r>
        <w:t>PhVWP</w:t>
      </w:r>
      <w:proofErr w:type="spellEnd"/>
      <w:r>
        <w:t xml:space="preserve"> recommendations,</w:t>
      </w:r>
    </w:p>
    <w:p w14:paraId="06F5BA77" w14:textId="772398ED" w:rsidR="00F74F67" w:rsidRDefault="00F74F67" w:rsidP="00F74F67">
      <w:pPr>
        <w:spacing w:after="0"/>
      </w:pPr>
      <w:r>
        <w:t xml:space="preserve"> the CHMP agreed on the following</w:t>
      </w:r>
    </w:p>
    <w:p w14:paraId="1BFF0C06" w14:textId="77777777" w:rsidR="00F74F67" w:rsidRDefault="00F74F67" w:rsidP="00F74F67">
      <w:pPr>
        <w:spacing w:after="0"/>
      </w:pPr>
      <w:r>
        <w:t>changes:</w:t>
      </w:r>
    </w:p>
    <w:p w14:paraId="227CFCC7" w14:textId="77777777" w:rsidR="00F74F67" w:rsidRDefault="00F74F67" w:rsidP="00F74F67">
      <w:pPr>
        <w:spacing w:after="0"/>
      </w:pPr>
      <w:r>
        <w:t>- Removal of the absolute contraindication in</w:t>
      </w:r>
    </w:p>
    <w:p w14:paraId="2FFA136B" w14:textId="77777777" w:rsidR="00F74F67" w:rsidRDefault="00F74F67" w:rsidP="00F74F67">
      <w:pPr>
        <w:spacing w:after="0"/>
      </w:pPr>
      <w:r>
        <w:t>patients with epilepsy not adequately controlled with</w:t>
      </w:r>
    </w:p>
    <w:p w14:paraId="27C7C165" w14:textId="77777777" w:rsidR="00F74F67" w:rsidRDefault="00F74F67" w:rsidP="00F74F67">
      <w:pPr>
        <w:spacing w:after="0"/>
      </w:pPr>
      <w:r>
        <w:t>treatment and revision of section 4.4 of the SPC to indicate</w:t>
      </w:r>
    </w:p>
    <w:p w14:paraId="35530B25" w14:textId="77777777" w:rsidR="00F74F67" w:rsidRDefault="00F74F67" w:rsidP="00F74F67">
      <w:pPr>
        <w:spacing w:after="0"/>
      </w:pPr>
      <w:r>
        <w:t>that interferon beta should be used with caution in patients</w:t>
      </w:r>
    </w:p>
    <w:p w14:paraId="4DDF60E8" w14:textId="77777777" w:rsidR="00F74F67" w:rsidRDefault="00F74F67" w:rsidP="00F74F67">
      <w:pPr>
        <w:spacing w:after="0"/>
      </w:pPr>
      <w:r>
        <w:t>with epilepsy, particularly if their epilepsy is not adequately</w:t>
      </w:r>
    </w:p>
    <w:p w14:paraId="0D9595A7" w14:textId="77777777" w:rsidR="00F74F67" w:rsidRDefault="00F74F67" w:rsidP="00F74F67">
      <w:pPr>
        <w:spacing w:after="0"/>
      </w:pPr>
      <w:r>
        <w:t>controlled</w:t>
      </w:r>
    </w:p>
    <w:p w14:paraId="3E9AD453" w14:textId="77777777" w:rsidR="00F74F67" w:rsidRDefault="00F74F67" w:rsidP="00F74F67">
      <w:pPr>
        <w:spacing w:after="0"/>
      </w:pPr>
      <w:r>
        <w:t>- Revision of the contraindication in pregnancy to</w:t>
      </w:r>
    </w:p>
    <w:p w14:paraId="54D057E2" w14:textId="77777777" w:rsidR="00F74F67" w:rsidRDefault="00F74F67" w:rsidP="00F74F67">
      <w:pPr>
        <w:spacing w:after="0"/>
      </w:pPr>
      <w:r>
        <w:t>indicate that initiation of treatment in pregnancy is</w:t>
      </w:r>
    </w:p>
    <w:p w14:paraId="57C849E0" w14:textId="77777777" w:rsidR="00F74F67" w:rsidRDefault="00F74F67" w:rsidP="00F74F67">
      <w:pPr>
        <w:spacing w:after="0"/>
      </w:pPr>
      <w:r>
        <w:t>contraindicated but leave some room for clinical judgement</w:t>
      </w:r>
    </w:p>
    <w:p w14:paraId="39C6E8DF" w14:textId="77777777" w:rsidR="00F74F67" w:rsidRDefault="00F74F67" w:rsidP="00F74F67">
      <w:pPr>
        <w:spacing w:after="0"/>
      </w:pPr>
      <w:r>
        <w:t>as to whether a patient who becomes pregnant while taking</w:t>
      </w:r>
    </w:p>
    <w:p w14:paraId="1EE08C54" w14:textId="77777777" w:rsidR="00F74F67" w:rsidRDefault="00F74F67" w:rsidP="00F74F67">
      <w:pPr>
        <w:spacing w:after="0"/>
      </w:pPr>
      <w:r>
        <w:t>interferon beta should continue or stop treatment.</w:t>
      </w:r>
    </w:p>
    <w:p w14:paraId="277439C6" w14:textId="77777777" w:rsidR="00F74F67" w:rsidRDefault="00F74F67" w:rsidP="00F74F67">
      <w:pPr>
        <w:spacing w:after="0"/>
      </w:pPr>
      <w:r>
        <w:t>Consequential changes were made to section 4.6 of the</w:t>
      </w:r>
    </w:p>
    <w:p w14:paraId="30D930CE" w14:textId="77777777" w:rsidR="00F74F67" w:rsidRDefault="00F74F67" w:rsidP="00F74F67">
      <w:pPr>
        <w:spacing w:after="0"/>
      </w:pPr>
      <w:r>
        <w:t>SPC.</w:t>
      </w:r>
    </w:p>
    <w:p w14:paraId="17321A71" w14:textId="77777777" w:rsidR="00F74F67" w:rsidRDefault="00F74F67" w:rsidP="00F74F67">
      <w:pPr>
        <w:spacing w:after="0"/>
      </w:pPr>
      <w:r>
        <w:t>- Revision of the contraindication in patients with a</w:t>
      </w:r>
    </w:p>
    <w:p w14:paraId="782D1F17" w14:textId="77777777" w:rsidR="00F74F67" w:rsidRDefault="00F74F67" w:rsidP="00F74F67">
      <w:pPr>
        <w:spacing w:after="0"/>
      </w:pPr>
      <w:r>
        <w:t>history of severe depressive disorders and/or suicidal</w:t>
      </w:r>
    </w:p>
    <w:p w14:paraId="760E9E7A" w14:textId="77777777" w:rsidR="00F74F67" w:rsidRDefault="00F74F67" w:rsidP="00F74F67">
      <w:pPr>
        <w:spacing w:after="0"/>
      </w:pPr>
      <w:r>
        <w:t>ideation, to indicate that treatment of patients with current</w:t>
      </w:r>
    </w:p>
    <w:p w14:paraId="77FDA5C3" w14:textId="71A44AB3" w:rsidR="00287B0C" w:rsidRDefault="00F74F67" w:rsidP="00F74F67">
      <w:pPr>
        <w:spacing w:after="0"/>
      </w:pPr>
      <w:r>
        <w:t>severe depression and/or</w:t>
      </w:r>
    </w:p>
    <w:p w14:paraId="46D2AE09" w14:textId="2B2A342E" w:rsidR="00F74F67" w:rsidRDefault="00F74F67" w:rsidP="00F74F67">
      <w:pPr>
        <w:spacing w:after="0"/>
      </w:pPr>
      <w:r>
        <w:t>--</w:t>
      </w:r>
    </w:p>
    <w:p w14:paraId="103F691C" w14:textId="77777777" w:rsidR="00F74F67" w:rsidRDefault="00F74F67" w:rsidP="00F74F67">
      <w:pPr>
        <w:spacing w:after="0"/>
      </w:pPr>
      <w:r w:rsidRPr="00F74F67">
        <w:t>27/10/2005</w:t>
      </w:r>
      <w:r>
        <w:t xml:space="preserve">: Based on the review of clinical trial data, </w:t>
      </w:r>
      <w:proofErr w:type="spellStart"/>
      <w:r>
        <w:t>postmarketing</w:t>
      </w:r>
      <w:proofErr w:type="spellEnd"/>
    </w:p>
    <w:p w14:paraId="5891E4B9" w14:textId="77777777" w:rsidR="006C79F5" w:rsidRDefault="00F74F67" w:rsidP="00F74F67">
      <w:pPr>
        <w:spacing w:after="0"/>
      </w:pPr>
      <w:r>
        <w:t xml:space="preserve">data and literature provided by the MAH, the following warnings were </w:t>
      </w:r>
    </w:p>
    <w:p w14:paraId="52932AE8" w14:textId="69D98360" w:rsidR="00F74F67" w:rsidRDefault="00F74F67" w:rsidP="00F74F67">
      <w:pPr>
        <w:spacing w:after="0"/>
      </w:pPr>
      <w:r>
        <w:t>added to section 4.4 of the SPC:</w:t>
      </w:r>
    </w:p>
    <w:p w14:paraId="72E1E656" w14:textId="77777777" w:rsidR="00F74F67" w:rsidRDefault="00F74F67" w:rsidP="00F74F67">
      <w:pPr>
        <w:spacing w:after="0"/>
      </w:pPr>
      <w:r>
        <w:t>“Thyroid function tests are recommended regularly in</w:t>
      </w:r>
    </w:p>
    <w:p w14:paraId="5F4E6C33" w14:textId="77777777" w:rsidR="00F74F67" w:rsidRDefault="00F74F67" w:rsidP="00F74F67">
      <w:pPr>
        <w:spacing w:after="0"/>
      </w:pPr>
      <w:r>
        <w:t>patients with a history of thyroid dysfunction or as clinically</w:t>
      </w:r>
    </w:p>
    <w:p w14:paraId="5E99BD36" w14:textId="77777777" w:rsidR="00F74F67" w:rsidRDefault="00F74F67" w:rsidP="00F74F67">
      <w:pPr>
        <w:spacing w:after="0"/>
      </w:pPr>
      <w:r>
        <w:t>indicated.</w:t>
      </w:r>
    </w:p>
    <w:p w14:paraId="4AFCB4E8" w14:textId="77777777" w:rsidR="00F74F67" w:rsidRDefault="00F74F67" w:rsidP="00F74F67">
      <w:pPr>
        <w:spacing w:after="0"/>
      </w:pPr>
      <w:r>
        <w:t>Asymptomatic elevations of serum transaminases, in most</w:t>
      </w:r>
    </w:p>
    <w:p w14:paraId="5BB4FE86" w14:textId="77777777" w:rsidR="00F74F67" w:rsidRDefault="00F74F67" w:rsidP="00F74F67">
      <w:pPr>
        <w:spacing w:after="0"/>
      </w:pPr>
      <w:r>
        <w:t>cases mild and transient, occurred very commonly in</w:t>
      </w:r>
    </w:p>
    <w:p w14:paraId="49953724" w14:textId="77777777" w:rsidR="00F74F67" w:rsidRDefault="00F74F67" w:rsidP="00F74F67">
      <w:pPr>
        <w:spacing w:after="0"/>
      </w:pPr>
      <w:r>
        <w:t xml:space="preserve">patients treated with </w:t>
      </w:r>
      <w:proofErr w:type="spellStart"/>
      <w:r>
        <w:t>Betaferon</w:t>
      </w:r>
      <w:proofErr w:type="spellEnd"/>
      <w:r>
        <w:t xml:space="preserve"> during clinical trials. As for</w:t>
      </w:r>
    </w:p>
    <w:p w14:paraId="7C713F75" w14:textId="77777777" w:rsidR="00F74F67" w:rsidRDefault="00F74F67" w:rsidP="00F74F67">
      <w:pPr>
        <w:spacing w:after="0"/>
      </w:pPr>
      <w:r>
        <w:t>other beta interferons, severe hepatic injury, including</w:t>
      </w:r>
    </w:p>
    <w:p w14:paraId="1F9C747A" w14:textId="77777777" w:rsidR="00F74F67" w:rsidRDefault="00F74F67" w:rsidP="00F74F67">
      <w:pPr>
        <w:spacing w:after="0"/>
      </w:pPr>
      <w:r>
        <w:t>cases of hepatic failure, has been reported rarely in</w:t>
      </w:r>
    </w:p>
    <w:p w14:paraId="502D214B" w14:textId="77777777" w:rsidR="00F74F67" w:rsidRDefault="00F74F67" w:rsidP="00F74F67">
      <w:pPr>
        <w:spacing w:after="0"/>
      </w:pPr>
      <w:r>
        <w:t xml:space="preserve">patients taking </w:t>
      </w:r>
      <w:proofErr w:type="spellStart"/>
      <w:r>
        <w:t>Betaferon</w:t>
      </w:r>
      <w:proofErr w:type="spellEnd"/>
      <w:r>
        <w:t>. The most serious events often</w:t>
      </w:r>
    </w:p>
    <w:p w14:paraId="6E632431" w14:textId="77777777" w:rsidR="00F74F67" w:rsidRDefault="00F74F67" w:rsidP="00F74F67">
      <w:pPr>
        <w:spacing w:after="0"/>
      </w:pPr>
      <w:r>
        <w:t>occurred in patients exposed to other drugs or substances</w:t>
      </w:r>
    </w:p>
    <w:p w14:paraId="6C7065DB" w14:textId="77777777" w:rsidR="00F74F67" w:rsidRDefault="00F74F67" w:rsidP="00F74F67">
      <w:pPr>
        <w:spacing w:after="0"/>
      </w:pPr>
      <w:r>
        <w:t>known to be associated with hepatotoxicity or in the</w:t>
      </w:r>
    </w:p>
    <w:p w14:paraId="2F007EB7" w14:textId="77777777" w:rsidR="00F74F67" w:rsidRDefault="00F74F67" w:rsidP="00F74F67">
      <w:pPr>
        <w:spacing w:after="0"/>
      </w:pPr>
      <w:r>
        <w:t>presence of comorbid medical conditions (e.g.</w:t>
      </w:r>
    </w:p>
    <w:p w14:paraId="410A0B92" w14:textId="77777777" w:rsidR="00F74F67" w:rsidRDefault="00F74F67" w:rsidP="00F74F67">
      <w:pPr>
        <w:spacing w:after="0"/>
      </w:pPr>
      <w:r>
        <w:t>metastasizing malignant disease, severe infection and</w:t>
      </w:r>
    </w:p>
    <w:p w14:paraId="396AB8C1" w14:textId="77777777" w:rsidR="00F74F67" w:rsidRDefault="00F74F67" w:rsidP="00F74F67">
      <w:pPr>
        <w:spacing w:after="0"/>
      </w:pPr>
      <w:r>
        <w:t>sepsis alcohol abuse).</w:t>
      </w:r>
    </w:p>
    <w:p w14:paraId="0D208DA6" w14:textId="539A672C" w:rsidR="00F74F67" w:rsidRDefault="00F74F67" w:rsidP="00F74F67">
      <w:pPr>
        <w:spacing w:after="0"/>
      </w:pPr>
      <w:r>
        <w:t>Patients should be monitored for signs of hepatic injury.</w:t>
      </w:r>
    </w:p>
    <w:p w14:paraId="6C720752" w14:textId="55FDE65D" w:rsidR="00B545FB" w:rsidRPr="00AB160A" w:rsidRDefault="00B545FB" w:rsidP="00245594"/>
    <w:p w14:paraId="321F154E" w14:textId="2D165CBB" w:rsidR="00A0185B" w:rsidRDefault="00A0185B" w:rsidP="000148F2">
      <w:pPr>
        <w:pStyle w:val="Heading2"/>
        <w:rPr>
          <w:color w:val="FF0000"/>
        </w:rPr>
      </w:pPr>
      <w:bookmarkStart w:id="6" w:name="_Toc104798910"/>
      <w:r w:rsidRPr="00D372F2">
        <w:rPr>
          <w:color w:val="FF0000"/>
        </w:rPr>
        <w:t>Methotrexate – off-label</w:t>
      </w:r>
      <w:r w:rsidR="00720FD4" w:rsidRPr="00D372F2">
        <w:rPr>
          <w:color w:val="FF0000"/>
        </w:rPr>
        <w:t>, several brands exist</w:t>
      </w:r>
      <w:bookmarkEnd w:id="6"/>
    </w:p>
    <w:p w14:paraId="605CE15A" w14:textId="77777777" w:rsidR="00D372F2" w:rsidRDefault="00D372F2" w:rsidP="00D372F2"/>
    <w:p w14:paraId="13A7B405" w14:textId="77777777" w:rsidR="004676A1" w:rsidRPr="000A425A" w:rsidRDefault="004676A1" w:rsidP="004676A1">
      <w:r>
        <w:t xml:space="preserve">No clear information available, potentially authorized before EMA processes in place. </w:t>
      </w:r>
    </w:p>
    <w:p w14:paraId="1B5DDF78" w14:textId="6D9564EA" w:rsidR="00D372F2" w:rsidRDefault="00D372F2" w:rsidP="00245594">
      <w:r>
        <w:t>Communications/press releases:</w:t>
      </w:r>
    </w:p>
    <w:p w14:paraId="4DF04494" w14:textId="7F37F871" w:rsidR="00245594" w:rsidRPr="00245594" w:rsidRDefault="007B3B4E" w:rsidP="00245594">
      <w:hyperlink r:id="rId23" w:history="1">
        <w:r w:rsidR="00D372F2" w:rsidRPr="002731D6">
          <w:rPr>
            <w:rStyle w:val="Hyperlink"/>
          </w:rPr>
          <w:t>https://www.ema.europa.eu/en/news/new-measures-avoid-potentially-fatal-dosing-errors-methotrexate-inflammatory-diseases</w:t>
        </w:r>
      </w:hyperlink>
      <w:r w:rsidR="00D372F2">
        <w:t xml:space="preserve"> </w:t>
      </w:r>
    </w:p>
    <w:p w14:paraId="4B294FAE" w14:textId="77777777" w:rsidR="001F51DC" w:rsidRDefault="001F51DC" w:rsidP="000148F2">
      <w:pPr>
        <w:pStyle w:val="Heading2"/>
      </w:pPr>
    </w:p>
    <w:p w14:paraId="74B28BB8" w14:textId="1D40F33B" w:rsidR="002F55A6" w:rsidRDefault="00A0185B" w:rsidP="00D372F2">
      <w:pPr>
        <w:pStyle w:val="Heading2"/>
      </w:pPr>
      <w:bookmarkStart w:id="7" w:name="_Toc104798911"/>
      <w:r w:rsidRPr="00B441AF">
        <w:t>Natalizumab</w:t>
      </w:r>
      <w:r w:rsidR="00B441AF">
        <w:t xml:space="preserve">: </w:t>
      </w:r>
      <w:r w:rsidR="00B441AF" w:rsidRPr="00B441AF">
        <w:rPr>
          <w:i/>
          <w:iCs/>
        </w:rPr>
        <w:t>Tysabri</w:t>
      </w:r>
      <w:bookmarkEnd w:id="7"/>
      <w:r w:rsidR="00B441AF">
        <w:t xml:space="preserve"> </w:t>
      </w:r>
    </w:p>
    <w:p w14:paraId="68D3EAEF" w14:textId="77777777" w:rsidR="002F55A6" w:rsidRDefault="002F55A6" w:rsidP="002F55A6">
      <w:r>
        <w:t>Communications/press releases:</w:t>
      </w:r>
    </w:p>
    <w:p w14:paraId="20DA113C" w14:textId="66E0E864" w:rsidR="002F55A6" w:rsidRDefault="007B3B4E" w:rsidP="00A0185B">
      <w:hyperlink r:id="rId24" w:history="1">
        <w:r w:rsidR="002F55A6" w:rsidRPr="002731D6">
          <w:rPr>
            <w:rStyle w:val="Hyperlink"/>
          </w:rPr>
          <w:t>https://www.ema.europa.eu/en/news/updated-recommendations-minimise-risk-rare-brain-infection-pml-tysabri</w:t>
        </w:r>
      </w:hyperlink>
      <w:r w:rsidR="002F55A6">
        <w:t xml:space="preserve"> </w:t>
      </w:r>
    </w:p>
    <w:p w14:paraId="5D402103" w14:textId="2895BD3B" w:rsidR="002F55A6" w:rsidRDefault="007B3B4E" w:rsidP="00A0185B">
      <w:hyperlink r:id="rId25" w:history="1">
        <w:r w:rsidR="002F55A6" w:rsidRPr="002731D6">
          <w:rPr>
            <w:rStyle w:val="Hyperlink"/>
          </w:rPr>
          <w:t>https://www.ema.europa.eu/en/news/ema-confirms-recommendations-minimise-risk-brain-infection-pml-tysabri</w:t>
        </w:r>
      </w:hyperlink>
      <w:r w:rsidR="002F55A6">
        <w:t xml:space="preserve"> </w:t>
      </w:r>
    </w:p>
    <w:p w14:paraId="13893809" w14:textId="3B42665D" w:rsidR="002F55A6" w:rsidRDefault="007B3B4E" w:rsidP="00A0185B">
      <w:hyperlink r:id="rId26" w:history="1">
        <w:r w:rsidR="002F55A6" w:rsidRPr="002731D6">
          <w:rPr>
            <w:rStyle w:val="Hyperlink"/>
          </w:rPr>
          <w:t>https://www.ema.europa.eu/en/news/european-medicines-agency-update-progressive-multifocal-leukoencephalopathy-pml-tysabri</w:t>
        </w:r>
      </w:hyperlink>
      <w:r w:rsidR="002F55A6">
        <w:t xml:space="preserve"> </w:t>
      </w:r>
    </w:p>
    <w:p w14:paraId="7D5DC2F1" w14:textId="79FA1F46" w:rsidR="002F55A6" w:rsidRDefault="007B3B4E" w:rsidP="00A0185B">
      <w:hyperlink r:id="rId27" w:history="1">
        <w:r w:rsidR="002F55A6" w:rsidRPr="002731D6">
          <w:rPr>
            <w:rStyle w:val="Hyperlink"/>
          </w:rPr>
          <w:t>https://www.ema.europa.eu/en/news/european-medicines-agency-recommends-additional-measures-better-manage-risk-progressive-multifocal</w:t>
        </w:r>
      </w:hyperlink>
      <w:r w:rsidR="002F55A6">
        <w:t xml:space="preserve"> </w:t>
      </w:r>
    </w:p>
    <w:p w14:paraId="0B8EB3BF" w14:textId="0041A500" w:rsidR="002F55A6" w:rsidRDefault="007B3B4E" w:rsidP="00A0185B">
      <w:hyperlink r:id="rId28" w:history="1">
        <w:r w:rsidR="00E5391D" w:rsidRPr="002731D6">
          <w:rPr>
            <w:rStyle w:val="Hyperlink"/>
          </w:rPr>
          <w:t>https://www.ema.europa.eu/en/news/european-medicines-agency-recommends-update-product-information-tysabri-risk-progressive-multifocal</w:t>
        </w:r>
      </w:hyperlink>
      <w:r w:rsidR="00E5391D">
        <w:t xml:space="preserve"> </w:t>
      </w:r>
    </w:p>
    <w:p w14:paraId="788B9605" w14:textId="00A6FA39" w:rsidR="00FE76B3" w:rsidRDefault="00FE76B3" w:rsidP="00A0185B">
      <w:r>
        <w:t xml:space="preserve">Since authorization: </w:t>
      </w:r>
      <w:hyperlink r:id="rId29" w:history="1">
        <w:r w:rsidRPr="002731D6">
          <w:rPr>
            <w:rStyle w:val="Hyperlink"/>
          </w:rPr>
          <w:t>https://www.ema.europa.eu/en/documents/procedural-steps-after/tysabri-epar-procedural-steps-taken-scientific-information-after-authorisation_en.pdf</w:t>
        </w:r>
      </w:hyperlink>
      <w:r>
        <w:t xml:space="preserve"> </w:t>
      </w:r>
    </w:p>
    <w:p w14:paraId="3C8F396E" w14:textId="259A300D" w:rsidR="00491ED5" w:rsidRDefault="00491ED5" w:rsidP="00491ED5">
      <w:r>
        <w:t xml:space="preserve">There are a number of changes, please refer to link above. </w:t>
      </w:r>
    </w:p>
    <w:p w14:paraId="27322449" w14:textId="2039847E" w:rsidR="00B05BEC" w:rsidRDefault="00B05BEC" w:rsidP="00491ED5">
      <w:r>
        <w:t>Of note:</w:t>
      </w:r>
    </w:p>
    <w:p w14:paraId="44816515" w14:textId="77777777" w:rsidR="00D26835" w:rsidRDefault="00D26835" w:rsidP="00D26835">
      <w:pPr>
        <w:spacing w:after="0"/>
      </w:pPr>
      <w:r w:rsidRPr="00D26835">
        <w:t>23/04/2020</w:t>
      </w:r>
      <w:r>
        <w:t>: In a pre-specified, retrospective, analysis of US anti-JCV</w:t>
      </w:r>
    </w:p>
    <w:p w14:paraId="330FAFB8" w14:textId="77777777" w:rsidR="00D26835" w:rsidRDefault="00D26835" w:rsidP="00D26835">
      <w:pPr>
        <w:spacing w:after="0"/>
      </w:pPr>
      <w:r>
        <w:t>antibody positive TYSABRI patients (n = 15,120), the</w:t>
      </w:r>
    </w:p>
    <w:p w14:paraId="7BD4FE8E" w14:textId="77777777" w:rsidR="00D26835" w:rsidRDefault="00D26835" w:rsidP="00D26835">
      <w:pPr>
        <w:spacing w:after="0"/>
      </w:pPr>
      <w:r>
        <w:t>extended interval dosing of TYSABRI (average dosing</w:t>
      </w:r>
    </w:p>
    <w:p w14:paraId="35369030" w14:textId="77777777" w:rsidR="00D26835" w:rsidRDefault="00D26835" w:rsidP="00D26835">
      <w:pPr>
        <w:spacing w:after="0"/>
      </w:pPr>
      <w:r>
        <w:t>interval of approximately 6 weeks) was associated with</w:t>
      </w:r>
    </w:p>
    <w:p w14:paraId="1D5FCD57" w14:textId="77777777" w:rsidR="00D26835" w:rsidRDefault="00D26835" w:rsidP="00D26835">
      <w:pPr>
        <w:spacing w:after="0"/>
      </w:pPr>
      <w:r>
        <w:t>lower PML risk (95% CI of hazard ratio = 0.01- 0.22)</w:t>
      </w:r>
      <w:r w:rsidRPr="00D26835">
        <w:t xml:space="preserve"> </w:t>
      </w:r>
    </w:p>
    <w:p w14:paraId="1DBF5119" w14:textId="6197F35B" w:rsidR="00D26835" w:rsidRDefault="00D26835" w:rsidP="00D26835">
      <w:pPr>
        <w:spacing w:after="0"/>
      </w:pPr>
      <w:r>
        <w:t>compared to approved dosing. If utilising extended interval</w:t>
      </w:r>
    </w:p>
    <w:p w14:paraId="4F96FF67" w14:textId="77777777" w:rsidR="00D26835" w:rsidRDefault="00D26835" w:rsidP="00D26835">
      <w:pPr>
        <w:spacing w:after="0"/>
      </w:pPr>
      <w:r>
        <w:t>dosing, caution is required because the efficacy of extended</w:t>
      </w:r>
    </w:p>
    <w:p w14:paraId="6ED0EBA8" w14:textId="77777777" w:rsidR="00D26835" w:rsidRDefault="00D26835" w:rsidP="00D26835">
      <w:pPr>
        <w:spacing w:after="0"/>
      </w:pPr>
      <w:r>
        <w:t>interval dosing has not been established and the associated</w:t>
      </w:r>
    </w:p>
    <w:p w14:paraId="5FED72AE" w14:textId="77777777" w:rsidR="00D26835" w:rsidRDefault="00D26835" w:rsidP="00D26835">
      <w:pPr>
        <w:spacing w:after="0"/>
      </w:pPr>
      <w:r>
        <w:t>benefit risk balance is currently unknown. For further</w:t>
      </w:r>
    </w:p>
    <w:p w14:paraId="335577B8" w14:textId="77777777" w:rsidR="00D26835" w:rsidRDefault="00D26835" w:rsidP="00D26835">
      <w:pPr>
        <w:spacing w:after="0"/>
      </w:pPr>
      <w:r>
        <w:t>information, refer to the Physician Information and</w:t>
      </w:r>
    </w:p>
    <w:p w14:paraId="70DEA701" w14:textId="77777777" w:rsidR="00D26835" w:rsidRDefault="00D26835" w:rsidP="00D26835">
      <w:pPr>
        <w:spacing w:after="0"/>
      </w:pPr>
      <w:r>
        <w:t>Management Guidelines. Current</w:t>
      </w:r>
    </w:p>
    <w:p w14:paraId="28B9D769" w14:textId="77777777" w:rsidR="00D26835" w:rsidRDefault="00D26835" w:rsidP="00D26835">
      <w:pPr>
        <w:spacing w:after="0"/>
      </w:pPr>
      <w:r>
        <w:t>pharmacokinetic/pharmacodynamic statistical modelling</w:t>
      </w:r>
    </w:p>
    <w:p w14:paraId="7C89AF55" w14:textId="77777777" w:rsidR="00D26835" w:rsidRDefault="00D26835" w:rsidP="00D26835">
      <w:pPr>
        <w:spacing w:after="0"/>
      </w:pPr>
      <w:r>
        <w:t>and simulation indicate that the risk of MS disease activity</w:t>
      </w:r>
    </w:p>
    <w:p w14:paraId="49184810" w14:textId="77777777" w:rsidR="00D26835" w:rsidRDefault="00D26835" w:rsidP="00D26835">
      <w:pPr>
        <w:spacing w:after="0"/>
      </w:pPr>
      <w:r>
        <w:t>for patients switching to longer dosing intervals may be</w:t>
      </w:r>
    </w:p>
    <w:p w14:paraId="43917524" w14:textId="77777777" w:rsidR="00D26835" w:rsidRDefault="00D26835" w:rsidP="00D26835">
      <w:pPr>
        <w:spacing w:after="0"/>
      </w:pPr>
      <w:r>
        <w:t>higher for patients with body weight &gt;80kg or those with</w:t>
      </w:r>
    </w:p>
    <w:p w14:paraId="3E47AC10" w14:textId="77777777" w:rsidR="00D26835" w:rsidRDefault="00D26835" w:rsidP="00D26835">
      <w:pPr>
        <w:spacing w:after="0"/>
      </w:pPr>
      <w:r>
        <w:t>dosing intervals ≥7 weeks. No prospective clinical studies</w:t>
      </w:r>
    </w:p>
    <w:p w14:paraId="5EA0AE50" w14:textId="77777777" w:rsidR="00D26835" w:rsidRDefault="00D26835" w:rsidP="00D26835">
      <w:pPr>
        <w:spacing w:after="0"/>
      </w:pPr>
      <w:r>
        <w:t>have been completed to validate these findings. According</w:t>
      </w:r>
    </w:p>
    <w:p w14:paraId="554C1E5C" w14:textId="77777777" w:rsidR="00D26835" w:rsidRDefault="00D26835" w:rsidP="00D26835">
      <w:pPr>
        <w:spacing w:after="0"/>
      </w:pPr>
      <w:r>
        <w:t>to previous comments sections 4.4 and 5.1 together with</w:t>
      </w:r>
    </w:p>
    <w:p w14:paraId="4C3AB90B" w14:textId="64358D74" w:rsidR="00D26835" w:rsidRDefault="00D26835" w:rsidP="00D26835">
      <w:pPr>
        <w:spacing w:after="0"/>
      </w:pPr>
      <w:r>
        <w:t>Annex IID are updated in the product information.</w:t>
      </w:r>
    </w:p>
    <w:p w14:paraId="6B18FB58" w14:textId="11972CF5" w:rsidR="00D26835" w:rsidRDefault="00D26835" w:rsidP="00210B6F">
      <w:pPr>
        <w:spacing w:after="0"/>
      </w:pPr>
      <w:r>
        <w:t>--</w:t>
      </w:r>
    </w:p>
    <w:p w14:paraId="7870B462" w14:textId="77777777" w:rsidR="00CF7F57" w:rsidRDefault="00CF7F57" w:rsidP="00CF7F57">
      <w:pPr>
        <w:spacing w:after="0"/>
      </w:pPr>
      <w:r w:rsidRPr="00CF7F57">
        <w:t>11/09/2017</w:t>
      </w:r>
      <w:r>
        <w:t>: Acute retinal necrosis (ARN) is a rare fulminant viral</w:t>
      </w:r>
    </w:p>
    <w:p w14:paraId="16C515FB" w14:textId="77777777" w:rsidR="00CF7F57" w:rsidRDefault="00CF7F57" w:rsidP="00CF7F57">
      <w:pPr>
        <w:spacing w:after="0"/>
      </w:pPr>
      <w:r>
        <w:t>infection of the retina caused by the family of herpes</w:t>
      </w:r>
    </w:p>
    <w:p w14:paraId="21E90AD6" w14:textId="77777777" w:rsidR="00CF7F57" w:rsidRDefault="00CF7F57" w:rsidP="00CF7F57">
      <w:pPr>
        <w:spacing w:after="0"/>
      </w:pPr>
      <w:r>
        <w:t>viruses (</w:t>
      </w:r>
      <w:proofErr w:type="gramStart"/>
      <w:r>
        <w:t>e.g.</w:t>
      </w:r>
      <w:proofErr w:type="gramEnd"/>
      <w:r>
        <w:t xml:space="preserve"> varicella zoster). In post-marketing</w:t>
      </w:r>
    </w:p>
    <w:p w14:paraId="0451869E" w14:textId="77777777" w:rsidR="00CF7F57" w:rsidRDefault="00CF7F57" w:rsidP="00CF7F57">
      <w:pPr>
        <w:spacing w:after="0"/>
      </w:pPr>
      <w:r>
        <w:lastRenderedPageBreak/>
        <w:t>experience, rare cases of ARN have been observed in</w:t>
      </w:r>
    </w:p>
    <w:p w14:paraId="46A60AD4" w14:textId="77777777" w:rsidR="00CF7F57" w:rsidRDefault="00CF7F57" w:rsidP="00CF7F57">
      <w:pPr>
        <w:spacing w:after="0"/>
      </w:pPr>
      <w:r>
        <w:t>patients receiving TYSABRI. Some cases have occurred in</w:t>
      </w:r>
    </w:p>
    <w:p w14:paraId="6AFA4007" w14:textId="77777777" w:rsidR="00CF7F57" w:rsidRDefault="00CF7F57" w:rsidP="00CF7F57">
      <w:pPr>
        <w:spacing w:after="0"/>
      </w:pPr>
      <w:r>
        <w:t>patients with central nervous system (CNS) herpes</w:t>
      </w:r>
    </w:p>
    <w:p w14:paraId="1D7744A8" w14:textId="77777777" w:rsidR="00CF7F57" w:rsidRDefault="00CF7F57" w:rsidP="00CF7F57">
      <w:pPr>
        <w:spacing w:after="0"/>
      </w:pPr>
      <w:r>
        <w:t>infections (</w:t>
      </w:r>
      <w:proofErr w:type="gramStart"/>
      <w:r>
        <w:t>e.g.</w:t>
      </w:r>
      <w:proofErr w:type="gramEnd"/>
      <w:r>
        <w:t xml:space="preserve"> herpes meningitis and encephalitis). Serious</w:t>
      </w:r>
    </w:p>
    <w:p w14:paraId="03919B1B" w14:textId="77777777" w:rsidR="00CF7F57" w:rsidRDefault="00CF7F57" w:rsidP="00CF7F57">
      <w:pPr>
        <w:spacing w:after="0"/>
      </w:pPr>
      <w:r>
        <w:t>cases of ARN, either affecting one or both eyes, led to</w:t>
      </w:r>
    </w:p>
    <w:p w14:paraId="03F80586" w14:textId="77777777" w:rsidR="00CF7F57" w:rsidRDefault="00CF7F57" w:rsidP="00CF7F57">
      <w:pPr>
        <w:spacing w:after="0"/>
      </w:pPr>
      <w:r>
        <w:t>blindness in some patients. The treatment reported in</w:t>
      </w:r>
    </w:p>
    <w:p w14:paraId="5CF88752" w14:textId="77777777" w:rsidR="00CF7F57" w:rsidRDefault="00CF7F57" w:rsidP="00CF7F57">
      <w:pPr>
        <w:spacing w:after="0"/>
      </w:pPr>
      <w:r>
        <w:t xml:space="preserve">these cases included anti-viral therapy </w:t>
      </w:r>
      <w:proofErr w:type="gramStart"/>
      <w:r>
        <w:t>and in some cases,</w:t>
      </w:r>
      <w:proofErr w:type="gramEnd"/>
    </w:p>
    <w:p w14:paraId="456C43FC" w14:textId="77777777" w:rsidR="00CF7F57" w:rsidRDefault="00CF7F57" w:rsidP="00CF7F57">
      <w:pPr>
        <w:spacing w:after="0"/>
      </w:pPr>
      <w:r>
        <w:t>surgery. Patients presenting with eye symptoms such as</w:t>
      </w:r>
    </w:p>
    <w:p w14:paraId="7F3DCE66" w14:textId="77777777" w:rsidR="00CF7F57" w:rsidRDefault="00CF7F57" w:rsidP="00CF7F57">
      <w:pPr>
        <w:spacing w:after="0"/>
      </w:pPr>
      <w:r>
        <w:t xml:space="preserve">decreased visual acuity, redness and painful eye should be </w:t>
      </w:r>
    </w:p>
    <w:p w14:paraId="3968A2A1" w14:textId="067630E1" w:rsidR="00CF7F57" w:rsidRDefault="00CF7F57" w:rsidP="00CF7F57">
      <w:pPr>
        <w:spacing w:after="0"/>
      </w:pPr>
      <w:r>
        <w:t>referred for retinal screening for ARN. Following clinical</w:t>
      </w:r>
    </w:p>
    <w:p w14:paraId="7E33BBAC" w14:textId="77777777" w:rsidR="00CF7F57" w:rsidRDefault="00CF7F57" w:rsidP="00CF7F57">
      <w:pPr>
        <w:spacing w:after="0"/>
      </w:pPr>
      <w:r>
        <w:t>diagnosis of ARN, discontinuation of TYSBABRI should be</w:t>
      </w:r>
    </w:p>
    <w:p w14:paraId="46ECB4A4" w14:textId="4425F792" w:rsidR="00CF7F57" w:rsidRDefault="00CF7F57" w:rsidP="00210B6F">
      <w:pPr>
        <w:spacing w:after="0"/>
      </w:pPr>
      <w:r>
        <w:t>considered in these patients.</w:t>
      </w:r>
    </w:p>
    <w:p w14:paraId="316531AF" w14:textId="77777777" w:rsidR="00CF7F57" w:rsidRDefault="00CF7F57" w:rsidP="00CF7F57">
      <w:pPr>
        <w:spacing w:after="0"/>
      </w:pPr>
      <w:r>
        <w:t>--</w:t>
      </w:r>
    </w:p>
    <w:p w14:paraId="122FE177" w14:textId="77777777" w:rsidR="00CF7F57" w:rsidRDefault="00CF7F57" w:rsidP="00CF7F57">
      <w:pPr>
        <w:spacing w:after="0"/>
      </w:pPr>
    </w:p>
    <w:p w14:paraId="51E9525E" w14:textId="77777777" w:rsidR="00CF7F57" w:rsidRDefault="00CF7F57" w:rsidP="00CF7F57">
      <w:pPr>
        <w:spacing w:after="0"/>
      </w:pPr>
      <w:r w:rsidRPr="00210B6F">
        <w:t>25/04/2016</w:t>
      </w:r>
      <w:r>
        <w:t>: Pursuant to Article 20 of Regulation (EC) No 726/2004, the European Commission requested on 29 April 2015 the opinion of the European Medicines Agency further new scientific evidence on progressive multifocal leukoencephalopathy (PML) in patients treated with Tysabri. The CHMP was requested to assess the impact thereof on the benefit-risk balance of Tysabri and to give its recommendation whether the marketing authorisation of this product should be maintained,</w:t>
      </w:r>
    </w:p>
    <w:p w14:paraId="7F09CC91" w14:textId="77777777" w:rsidR="00CF7F57" w:rsidRDefault="00CF7F57" w:rsidP="00CF7F57">
      <w:pPr>
        <w:spacing w:after="0" w:line="240" w:lineRule="auto"/>
      </w:pPr>
      <w:r>
        <w:t>varied, suspended or revoked. As the request results from the evaluation of data resulting from pharmacovigilance activities, the CHMP opinion should be adopted on the basis of a recommendation of the Pharmacovigilance Risk Assessment Committee. Please refer to the assessment report: Tysabri EMEA/H/A-20/1416/C/000603/0</w:t>
      </w:r>
    </w:p>
    <w:p w14:paraId="6E92616D" w14:textId="64363294" w:rsidR="00CF7F57" w:rsidRDefault="00CF7F57" w:rsidP="00CF7F57">
      <w:pPr>
        <w:spacing w:after="0"/>
      </w:pPr>
      <w:r>
        <w:t>--</w:t>
      </w:r>
    </w:p>
    <w:p w14:paraId="0E3F425B" w14:textId="77777777" w:rsidR="00CF7F57" w:rsidRDefault="00CF7F57" w:rsidP="00CF7F57">
      <w:pPr>
        <w:spacing w:after="0"/>
      </w:pPr>
    </w:p>
    <w:p w14:paraId="308FA48E" w14:textId="7F97688A" w:rsidR="00CF7F57" w:rsidRDefault="00CF7F57" w:rsidP="00CF7F57">
      <w:pPr>
        <w:spacing w:after="0"/>
      </w:pPr>
      <w:r w:rsidRPr="00CF7F57">
        <w:t>18/04/2016</w:t>
      </w:r>
      <w:r>
        <w:t>: Based on the review of data on quality, safety and efficacy,</w:t>
      </w:r>
    </w:p>
    <w:p w14:paraId="11A8B9EC" w14:textId="77777777" w:rsidR="00CF7F57" w:rsidRDefault="00CF7F57" w:rsidP="00CF7F57">
      <w:pPr>
        <w:spacing w:after="0"/>
      </w:pPr>
      <w:r>
        <w:t>the CHMP considered that the benefit-risk balance of</w:t>
      </w:r>
    </w:p>
    <w:p w14:paraId="10F16083" w14:textId="77777777" w:rsidR="00CF7F57" w:rsidRDefault="00CF7F57" w:rsidP="00CF7F57">
      <w:pPr>
        <w:spacing w:after="0"/>
      </w:pPr>
      <w:r>
        <w:t>Tysabri in the approved indication remains favourable and</w:t>
      </w:r>
    </w:p>
    <w:p w14:paraId="171049E6" w14:textId="77777777" w:rsidR="00CF7F57" w:rsidRDefault="00CF7F57" w:rsidP="00CF7F57">
      <w:pPr>
        <w:spacing w:after="0"/>
      </w:pPr>
      <w:proofErr w:type="gramStart"/>
      <w:r>
        <w:t>therefore</w:t>
      </w:r>
      <w:proofErr w:type="gramEnd"/>
      <w:r>
        <w:t xml:space="preserve"> recommended the renewal of the marketing</w:t>
      </w:r>
    </w:p>
    <w:p w14:paraId="66EFBAE5" w14:textId="77777777" w:rsidR="00CF7F57" w:rsidRDefault="00CF7F57" w:rsidP="00CF7F57">
      <w:pPr>
        <w:spacing w:after="0"/>
      </w:pPr>
      <w:r>
        <w:t>authorisation with unlimited validity.</w:t>
      </w:r>
    </w:p>
    <w:p w14:paraId="15E1C1D4" w14:textId="77777777" w:rsidR="00CF7F57" w:rsidRDefault="00CF7F57" w:rsidP="00CF7F57">
      <w:pPr>
        <w:spacing w:after="0"/>
      </w:pPr>
      <w:r>
        <w:t>In addition, sections 4.4 and 4.8 of the Summary of</w:t>
      </w:r>
    </w:p>
    <w:p w14:paraId="10D5A54E" w14:textId="77777777" w:rsidR="00CF7F57" w:rsidRDefault="00CF7F57" w:rsidP="00CF7F57">
      <w:pPr>
        <w:spacing w:after="0"/>
      </w:pPr>
      <w:r>
        <w:t>Product Characteristics (SmPC) were updated to include</w:t>
      </w:r>
    </w:p>
    <w:p w14:paraId="6F335928" w14:textId="77777777" w:rsidR="00CF7F57" w:rsidRDefault="00CF7F57" w:rsidP="00CF7F57">
      <w:pPr>
        <w:spacing w:after="0"/>
      </w:pPr>
      <w:r>
        <w:t>new safety information on Granule Cell Neuronopathy</w:t>
      </w:r>
    </w:p>
    <w:p w14:paraId="1FF039BC" w14:textId="77777777" w:rsidR="00CF7F57" w:rsidRDefault="00CF7F57" w:rsidP="00CF7F57">
      <w:pPr>
        <w:spacing w:after="0"/>
      </w:pPr>
      <w:r>
        <w:t>(GCN), a condition which is also caused by John</w:t>
      </w:r>
    </w:p>
    <w:p w14:paraId="5DE3B1D8" w14:textId="77777777" w:rsidR="00CF7F57" w:rsidRDefault="00CF7F57" w:rsidP="00CF7F57">
      <w:pPr>
        <w:spacing w:after="0"/>
      </w:pPr>
      <w:r>
        <w:t>Cunningham Virus (JCV) and that has occurred in some</w:t>
      </w:r>
    </w:p>
    <w:p w14:paraId="032A8F6D" w14:textId="77777777" w:rsidR="00CF7F57" w:rsidRDefault="00CF7F57" w:rsidP="00CF7F57">
      <w:pPr>
        <w:spacing w:after="0"/>
      </w:pPr>
      <w:r>
        <w:t>patients who have been given Tysabri. Symptoms of JCV</w:t>
      </w:r>
    </w:p>
    <w:p w14:paraId="79F34155" w14:textId="77777777" w:rsidR="00CF7F57" w:rsidRDefault="00CF7F57" w:rsidP="00CF7F57">
      <w:pPr>
        <w:spacing w:after="0"/>
      </w:pPr>
      <w:r>
        <w:t xml:space="preserve">GCN are similar to symptoms of Progressive Multifocal </w:t>
      </w:r>
    </w:p>
    <w:p w14:paraId="4C29C6E7" w14:textId="62E4ADFA" w:rsidR="00CF7F57" w:rsidRDefault="00CF7F57" w:rsidP="00CF7F57">
      <w:pPr>
        <w:spacing w:after="0"/>
      </w:pPr>
      <w:r>
        <w:t>Leukoencephalopathy (</w:t>
      </w:r>
      <w:proofErr w:type="gramStart"/>
      <w:r>
        <w:t>i.e.</w:t>
      </w:r>
      <w:proofErr w:type="gramEnd"/>
      <w:r>
        <w:t xml:space="preserve"> cerebellar syndrome). The</w:t>
      </w:r>
    </w:p>
    <w:p w14:paraId="6EF3B17D" w14:textId="79C0575E" w:rsidR="00CF7F57" w:rsidRDefault="00CF7F57" w:rsidP="00CF7F57">
      <w:pPr>
        <w:spacing w:after="0"/>
      </w:pPr>
      <w:r>
        <w:t>Package leaflet is being updated accordingly.</w:t>
      </w:r>
    </w:p>
    <w:p w14:paraId="2688C097" w14:textId="51E0E526" w:rsidR="00D26835" w:rsidRDefault="00D26835" w:rsidP="00210B6F">
      <w:pPr>
        <w:spacing w:after="0" w:line="240" w:lineRule="auto"/>
      </w:pPr>
      <w:r>
        <w:t>--</w:t>
      </w:r>
    </w:p>
    <w:p w14:paraId="005D0239" w14:textId="77777777" w:rsidR="00CF7F57" w:rsidRDefault="00CF7F57" w:rsidP="00CF7F57">
      <w:pPr>
        <w:spacing w:after="0" w:line="240" w:lineRule="auto"/>
      </w:pPr>
      <w:r w:rsidRPr="00CF7F57">
        <w:t>13/06/2013</w:t>
      </w:r>
      <w:r>
        <w:t>: Based on the review of the submitted data in patients who</w:t>
      </w:r>
    </w:p>
    <w:p w14:paraId="0B2AE71A" w14:textId="77777777" w:rsidR="00CF7F57" w:rsidRDefault="00CF7F57" w:rsidP="00CF7F57">
      <w:pPr>
        <w:spacing w:after="0" w:line="240" w:lineRule="auto"/>
      </w:pPr>
      <w:r>
        <w:t>had onset of suspicion of PML after Tysabri discontinuation,</w:t>
      </w:r>
    </w:p>
    <w:p w14:paraId="07F0923D" w14:textId="77777777" w:rsidR="00CF7F57" w:rsidRDefault="00CF7F57" w:rsidP="00CF7F57">
      <w:pPr>
        <w:spacing w:after="0" w:line="240" w:lineRule="auto"/>
      </w:pPr>
      <w:r>
        <w:t>the CHMP considered that the Marketing Authorisation</w:t>
      </w:r>
    </w:p>
    <w:p w14:paraId="3326DC15" w14:textId="77777777" w:rsidR="00CF7F57" w:rsidRDefault="00CF7F57" w:rsidP="00CF7F57">
      <w:pPr>
        <w:spacing w:after="0" w:line="240" w:lineRule="auto"/>
      </w:pPr>
      <w:r>
        <w:t>Holder (MAH) assumption that PML occurs as Tysabri</w:t>
      </w:r>
    </w:p>
    <w:p w14:paraId="74D5E978" w14:textId="77777777" w:rsidR="00CF7F57" w:rsidRDefault="00CF7F57" w:rsidP="00CF7F57">
      <w:pPr>
        <w:spacing w:after="0" w:line="240" w:lineRule="auto"/>
      </w:pPr>
      <w:r>
        <w:t>continues to have some pharmacological effect is one</w:t>
      </w:r>
    </w:p>
    <w:p w14:paraId="4D6AA3B8" w14:textId="77777777" w:rsidR="00CF7F57" w:rsidRDefault="00CF7F57" w:rsidP="00CF7F57">
      <w:pPr>
        <w:spacing w:after="0" w:line="240" w:lineRule="auto"/>
      </w:pPr>
      <w:r>
        <w:t>possible explanation and therefore accepted to include the</w:t>
      </w:r>
    </w:p>
    <w:p w14:paraId="0F179EE4" w14:textId="77777777" w:rsidR="00CF7F57" w:rsidRDefault="00CF7F57" w:rsidP="00CF7F57">
      <w:pPr>
        <w:spacing w:after="0" w:line="240" w:lineRule="auto"/>
      </w:pPr>
      <w:r>
        <w:t>following information in the SmPC:</w:t>
      </w:r>
    </w:p>
    <w:p w14:paraId="18374A87" w14:textId="77777777" w:rsidR="00CF7F57" w:rsidRDefault="00CF7F57" w:rsidP="00CF7F57">
      <w:pPr>
        <w:spacing w:after="0" w:line="240" w:lineRule="auto"/>
      </w:pPr>
      <w:r>
        <w:t>- Section 4.4: PML has been reported following</w:t>
      </w:r>
    </w:p>
    <w:p w14:paraId="1C32CB47" w14:textId="77777777" w:rsidR="00CF7F57" w:rsidRDefault="00CF7F57" w:rsidP="00CF7F57">
      <w:pPr>
        <w:spacing w:after="0" w:line="240" w:lineRule="auto"/>
      </w:pPr>
      <w:r>
        <w:t>discontinuation of TYSABRI in patients who did not have</w:t>
      </w:r>
    </w:p>
    <w:p w14:paraId="63AD190A" w14:textId="77777777" w:rsidR="00CF7F57" w:rsidRDefault="00CF7F57" w:rsidP="00CF7F57">
      <w:pPr>
        <w:spacing w:after="0" w:line="240" w:lineRule="auto"/>
      </w:pPr>
      <w:r>
        <w:lastRenderedPageBreak/>
        <w:t>findings suggestive of PML at the time of discontinuation.</w:t>
      </w:r>
    </w:p>
    <w:p w14:paraId="02A681F5" w14:textId="77777777" w:rsidR="00CF7F57" w:rsidRDefault="00CF7F57" w:rsidP="00CF7F57">
      <w:pPr>
        <w:spacing w:after="0" w:line="240" w:lineRule="auto"/>
      </w:pPr>
      <w:r>
        <w:t>Patients and Physicians should continue to be alert for any</w:t>
      </w:r>
    </w:p>
    <w:p w14:paraId="48D44801" w14:textId="77777777" w:rsidR="00CF7F57" w:rsidRDefault="00CF7F57" w:rsidP="00CF7F57">
      <w:pPr>
        <w:spacing w:after="0" w:line="240" w:lineRule="auto"/>
      </w:pPr>
      <w:r>
        <w:t>new signs or symptoms that may be suggestive of PML for</w:t>
      </w:r>
    </w:p>
    <w:p w14:paraId="12DB2A75" w14:textId="77777777" w:rsidR="00CF7F57" w:rsidRDefault="00CF7F57" w:rsidP="00CF7F57">
      <w:pPr>
        <w:spacing w:after="0" w:line="240" w:lineRule="auto"/>
      </w:pPr>
      <w:r>
        <w:t>approximately six months following discontinuation of</w:t>
      </w:r>
    </w:p>
    <w:p w14:paraId="3BC3CD5A" w14:textId="201C0749" w:rsidR="00D26835" w:rsidRDefault="00CF7F57" w:rsidP="00CF7F57">
      <w:pPr>
        <w:spacing w:after="0" w:line="240" w:lineRule="auto"/>
      </w:pPr>
      <w:r>
        <w:t>TYSABRI.</w:t>
      </w:r>
    </w:p>
    <w:p w14:paraId="6E503835" w14:textId="46A9BA3E" w:rsidR="00CF7F57" w:rsidRDefault="00CF7F57" w:rsidP="00CF7F57">
      <w:pPr>
        <w:spacing w:after="0" w:line="240" w:lineRule="auto"/>
      </w:pPr>
      <w:r>
        <w:t>--</w:t>
      </w:r>
    </w:p>
    <w:p w14:paraId="785ABD41" w14:textId="4C1B538F" w:rsidR="00CF7F57" w:rsidRDefault="00CF7F57" w:rsidP="00CF7F57">
      <w:pPr>
        <w:spacing w:after="0" w:line="240" w:lineRule="auto"/>
      </w:pPr>
    </w:p>
    <w:p w14:paraId="2D418253" w14:textId="77777777" w:rsidR="00CF7F57" w:rsidRDefault="00CF7F57" w:rsidP="00CF7F57">
      <w:pPr>
        <w:spacing w:after="0" w:line="240" w:lineRule="auto"/>
      </w:pPr>
      <w:r w:rsidRPr="00CF7F57">
        <w:t>19/11/2012</w:t>
      </w:r>
      <w:r>
        <w:t>: Based on the review of the submitted data, the CHMP</w:t>
      </w:r>
    </w:p>
    <w:p w14:paraId="453181E5" w14:textId="77777777" w:rsidR="00CF7F57" w:rsidRDefault="00CF7F57" w:rsidP="00CF7F57">
      <w:pPr>
        <w:spacing w:after="0" w:line="240" w:lineRule="auto"/>
      </w:pPr>
      <w:r>
        <w:t>considered that a six-monthly anti-JCV antibody testing</w:t>
      </w:r>
    </w:p>
    <w:p w14:paraId="1750FC92" w14:textId="77777777" w:rsidR="00CF7F57" w:rsidRDefault="00CF7F57" w:rsidP="00CF7F57">
      <w:pPr>
        <w:spacing w:after="0" w:line="240" w:lineRule="auto"/>
      </w:pPr>
      <w:r>
        <w:t>would allow for an earlier identification of patients who</w:t>
      </w:r>
    </w:p>
    <w:p w14:paraId="4F6172FC" w14:textId="354479E2" w:rsidR="00CF7F57" w:rsidRDefault="00CF7F57" w:rsidP="00CF7F57">
      <w:pPr>
        <w:spacing w:after="0" w:line="240" w:lineRule="auto"/>
      </w:pPr>
      <w:r>
        <w:t>have changed their antibody status from negative to</w:t>
      </w:r>
    </w:p>
    <w:p w14:paraId="5E0E6DAD" w14:textId="77777777" w:rsidR="00CF7F57" w:rsidRDefault="00CF7F57" w:rsidP="00CF7F57">
      <w:pPr>
        <w:spacing w:after="0" w:line="240" w:lineRule="auto"/>
      </w:pPr>
      <w:r>
        <w:t xml:space="preserve">positive. In addition, data on seroconversion, </w:t>
      </w:r>
      <w:proofErr w:type="spellStart"/>
      <w:r>
        <w:t>seroreversion</w:t>
      </w:r>
      <w:proofErr w:type="spellEnd"/>
    </w:p>
    <w:p w14:paraId="6A926527" w14:textId="77777777" w:rsidR="00CF7F57" w:rsidRDefault="00CF7F57" w:rsidP="00CF7F57">
      <w:pPr>
        <w:spacing w:after="0" w:line="240" w:lineRule="auto"/>
      </w:pPr>
      <w:r>
        <w:t>and intermittent positivity over 30 months suggested a</w:t>
      </w:r>
    </w:p>
    <w:p w14:paraId="0D3F8B2C" w14:textId="77777777" w:rsidR="00CF7F57" w:rsidRDefault="00CF7F57" w:rsidP="00CF7F57">
      <w:pPr>
        <w:spacing w:after="0" w:line="240" w:lineRule="auto"/>
      </w:pPr>
      <w:r>
        <w:t>significant intrinsic variance of anti-JCV antibody status</w:t>
      </w:r>
    </w:p>
    <w:p w14:paraId="59CAD014" w14:textId="77777777" w:rsidR="00CF7F57" w:rsidRDefault="00CF7F57" w:rsidP="00CF7F57">
      <w:pPr>
        <w:spacing w:after="0" w:line="240" w:lineRule="auto"/>
      </w:pPr>
      <w:r>
        <w:t>over time supporting the increased monitoring from every</w:t>
      </w:r>
    </w:p>
    <w:p w14:paraId="549D78D7" w14:textId="77777777" w:rsidR="00CF7F57" w:rsidRDefault="00CF7F57" w:rsidP="00CF7F57">
      <w:pPr>
        <w:spacing w:after="0" w:line="240" w:lineRule="auto"/>
      </w:pPr>
      <w:r>
        <w:t>12 months to 6 months. Considering that the</w:t>
      </w:r>
    </w:p>
    <w:p w14:paraId="3831A753" w14:textId="77777777" w:rsidR="00CF7F57" w:rsidRDefault="00CF7F57" w:rsidP="00CF7F57">
      <w:pPr>
        <w:spacing w:after="0" w:line="240" w:lineRule="auto"/>
      </w:pPr>
      <w:r>
        <w:t>recommended frequency of anti-JCV antibody testing was</w:t>
      </w:r>
    </w:p>
    <w:p w14:paraId="63ECDF1C" w14:textId="77777777" w:rsidR="00CF7F57" w:rsidRDefault="00CF7F57" w:rsidP="00CF7F57">
      <w:pPr>
        <w:spacing w:after="0" w:line="240" w:lineRule="auto"/>
      </w:pPr>
      <w:r>
        <w:t>part of the Risk management plan only, the CHMP accepted</w:t>
      </w:r>
    </w:p>
    <w:p w14:paraId="11382BB6" w14:textId="77777777" w:rsidR="00CF7F57" w:rsidRDefault="00CF7F57" w:rsidP="00CF7F57">
      <w:pPr>
        <w:spacing w:after="0" w:line="240" w:lineRule="auto"/>
      </w:pPr>
      <w:r>
        <w:t>to include a SmPC recommendation as well to further</w:t>
      </w:r>
    </w:p>
    <w:p w14:paraId="32F1A63B" w14:textId="77777777" w:rsidR="00CF7F57" w:rsidRDefault="00CF7F57" w:rsidP="00CF7F57">
      <w:pPr>
        <w:spacing w:after="0" w:line="240" w:lineRule="auto"/>
      </w:pPr>
      <w:r>
        <w:t>strengthen this monitoring. The following updated</w:t>
      </w:r>
    </w:p>
    <w:p w14:paraId="7B82F95A" w14:textId="77777777" w:rsidR="00CF7F57" w:rsidRDefault="00CF7F57" w:rsidP="00CF7F57">
      <w:pPr>
        <w:spacing w:after="0" w:line="240" w:lineRule="auto"/>
      </w:pPr>
      <w:r>
        <w:t>information on anti-JCV antibody testing appears in the</w:t>
      </w:r>
    </w:p>
    <w:p w14:paraId="6AA4DC51" w14:textId="77777777" w:rsidR="00CF7F57" w:rsidRDefault="00CF7F57" w:rsidP="00CF7F57">
      <w:pPr>
        <w:spacing w:after="0" w:line="240" w:lineRule="auto"/>
      </w:pPr>
      <w:r>
        <w:t>SmPC:</w:t>
      </w:r>
    </w:p>
    <w:p w14:paraId="51A4FB8C" w14:textId="77777777" w:rsidR="00CF7F57" w:rsidRDefault="00CF7F57" w:rsidP="00CF7F57">
      <w:pPr>
        <w:spacing w:after="0" w:line="240" w:lineRule="auto"/>
      </w:pPr>
      <w:r>
        <w:t>- Section 4.4: Anti-JCV antibody testing provides</w:t>
      </w:r>
    </w:p>
    <w:p w14:paraId="415307D2" w14:textId="77777777" w:rsidR="00CF7F57" w:rsidRDefault="00CF7F57" w:rsidP="00CF7F57">
      <w:pPr>
        <w:spacing w:after="0" w:line="240" w:lineRule="auto"/>
      </w:pPr>
      <w:r>
        <w:t>supportive information for risk stratification of TYSABRI</w:t>
      </w:r>
    </w:p>
    <w:p w14:paraId="295FD497" w14:textId="77777777" w:rsidR="00CF7F57" w:rsidRDefault="00CF7F57" w:rsidP="00CF7F57">
      <w:pPr>
        <w:spacing w:after="0" w:line="240" w:lineRule="auto"/>
      </w:pPr>
      <w:r>
        <w:t>treatment. Testing for serum anti-JCV antibody prior to</w:t>
      </w:r>
    </w:p>
    <w:p w14:paraId="5C6B5B67" w14:textId="77777777" w:rsidR="00CF7F57" w:rsidRDefault="00CF7F57" w:rsidP="00CF7F57">
      <w:pPr>
        <w:spacing w:after="0" w:line="240" w:lineRule="auto"/>
      </w:pPr>
      <w:r>
        <w:t>initiating TYSABRI therapy or in patients receiving TYSABRI</w:t>
      </w:r>
    </w:p>
    <w:p w14:paraId="1D9E6140" w14:textId="77777777" w:rsidR="00CF7F57" w:rsidRDefault="00CF7F57" w:rsidP="00CF7F57">
      <w:pPr>
        <w:spacing w:after="0" w:line="240" w:lineRule="auto"/>
      </w:pPr>
      <w:r>
        <w:t>with an unknown antibody status is recommended. Re-</w:t>
      </w:r>
    </w:p>
    <w:p w14:paraId="60059E21" w14:textId="77777777" w:rsidR="00CF7F57" w:rsidRDefault="00CF7F57" w:rsidP="00CF7F57">
      <w:pPr>
        <w:spacing w:after="0" w:line="240" w:lineRule="auto"/>
      </w:pPr>
      <w:r>
        <w:t>testing of anti-JCV antibody negative patients every 6</w:t>
      </w:r>
    </w:p>
    <w:p w14:paraId="52903593" w14:textId="77777777" w:rsidR="00CF7F57" w:rsidRDefault="00CF7F57" w:rsidP="00CF7F57">
      <w:pPr>
        <w:spacing w:after="0" w:line="240" w:lineRule="auto"/>
      </w:pPr>
      <w:r>
        <w:t>months is recommended. The anti-JCV antibody assay</w:t>
      </w:r>
    </w:p>
    <w:p w14:paraId="01641D3A" w14:textId="77777777" w:rsidR="00CF7F57" w:rsidRDefault="00CF7F57" w:rsidP="00CF7F57">
      <w:pPr>
        <w:spacing w:after="0" w:line="240" w:lineRule="auto"/>
      </w:pPr>
      <w:r>
        <w:t>(ELISA) should not be used to diagnose PML. Anti-JCV</w:t>
      </w:r>
    </w:p>
    <w:p w14:paraId="78C1DEDB" w14:textId="77777777" w:rsidR="00CF7F57" w:rsidRDefault="00CF7F57" w:rsidP="00CF7F57">
      <w:pPr>
        <w:spacing w:after="0" w:line="240" w:lineRule="auto"/>
      </w:pPr>
      <w:r>
        <w:t>antibody testing should not be performed during, or for at</w:t>
      </w:r>
    </w:p>
    <w:p w14:paraId="408F7EE1" w14:textId="77777777" w:rsidR="00CF7F57" w:rsidRDefault="00CF7F57" w:rsidP="00CF7F57">
      <w:pPr>
        <w:spacing w:after="0" w:line="240" w:lineRule="auto"/>
      </w:pPr>
      <w:r>
        <w:t>least two weeks following, plasma exchange due to the</w:t>
      </w:r>
    </w:p>
    <w:p w14:paraId="1F04B4BC" w14:textId="093D83AE" w:rsidR="00CF7F57" w:rsidRDefault="00CF7F57" w:rsidP="00CF7F57">
      <w:pPr>
        <w:spacing w:after="0" w:line="240" w:lineRule="auto"/>
      </w:pPr>
      <w:r>
        <w:t>removal of antibodies from the serum.</w:t>
      </w:r>
    </w:p>
    <w:p w14:paraId="17F160D6" w14:textId="61AAB88D" w:rsidR="00CF7F57" w:rsidRDefault="00CF7F57" w:rsidP="00CF7F57">
      <w:pPr>
        <w:spacing w:after="0" w:line="240" w:lineRule="auto"/>
      </w:pPr>
      <w:r>
        <w:t>--</w:t>
      </w:r>
    </w:p>
    <w:p w14:paraId="2039F952" w14:textId="77777777" w:rsidR="00546932" w:rsidRDefault="00CF7F57" w:rsidP="00546932">
      <w:pPr>
        <w:spacing w:after="0" w:line="240" w:lineRule="auto"/>
      </w:pPr>
      <w:r w:rsidRPr="00CF7F57">
        <w:t>19/11/2012</w:t>
      </w:r>
      <w:r>
        <w:t xml:space="preserve">: </w:t>
      </w:r>
      <w:r w:rsidR="00546932">
        <w:t>Based on 11 reported cases of hyper-eosinophilia</w:t>
      </w:r>
    </w:p>
    <w:p w14:paraId="6B1E916F" w14:textId="77777777" w:rsidR="00546932" w:rsidRDefault="00546932" w:rsidP="00546932">
      <w:pPr>
        <w:spacing w:after="0" w:line="240" w:lineRule="auto"/>
      </w:pPr>
      <w:r>
        <w:t>(</w:t>
      </w:r>
      <w:proofErr w:type="gramStart"/>
      <w:r>
        <w:t>eosinophil</w:t>
      </w:r>
      <w:proofErr w:type="gramEnd"/>
      <w:r>
        <w:t xml:space="preserve"> count &gt;1.5 x 10 9/L), section 4.8 of the SmPC</w:t>
      </w:r>
    </w:p>
    <w:p w14:paraId="0EBE3694" w14:textId="77777777" w:rsidR="00546932" w:rsidRDefault="00546932" w:rsidP="00546932">
      <w:pPr>
        <w:spacing w:after="0" w:line="240" w:lineRule="auto"/>
      </w:pPr>
      <w:r>
        <w:t>was updated in order to inform the healthcare professionals</w:t>
      </w:r>
    </w:p>
    <w:p w14:paraId="32408AEE" w14:textId="77777777" w:rsidR="00546932" w:rsidRDefault="00546932" w:rsidP="00546932">
      <w:pPr>
        <w:spacing w:after="0" w:line="240" w:lineRule="auto"/>
      </w:pPr>
      <w:r>
        <w:t>of the occurrence of this adverse reaction. No clinical</w:t>
      </w:r>
    </w:p>
    <w:p w14:paraId="711EAB05" w14:textId="77777777" w:rsidR="00546932" w:rsidRDefault="00546932" w:rsidP="00546932">
      <w:pPr>
        <w:spacing w:after="0" w:line="240" w:lineRule="auto"/>
      </w:pPr>
      <w:r>
        <w:t>symptoms associated with the hyper-eosinophilia were</w:t>
      </w:r>
    </w:p>
    <w:p w14:paraId="4093C17F" w14:textId="77777777" w:rsidR="00546932" w:rsidRDefault="00546932" w:rsidP="00546932">
      <w:pPr>
        <w:spacing w:after="0" w:line="240" w:lineRule="auto"/>
      </w:pPr>
      <w:r>
        <w:t>reported. However, stopping treatment resolved the</w:t>
      </w:r>
    </w:p>
    <w:p w14:paraId="6D76F0E1" w14:textId="7AF43FBF" w:rsidR="00CF7F57" w:rsidRDefault="00546932" w:rsidP="00546932">
      <w:pPr>
        <w:spacing w:after="0" w:line="240" w:lineRule="auto"/>
      </w:pPr>
      <w:r>
        <w:t>situation.</w:t>
      </w:r>
    </w:p>
    <w:p w14:paraId="073E78B4" w14:textId="41CDCFAD" w:rsidR="00546932" w:rsidRDefault="00546932" w:rsidP="00546932">
      <w:pPr>
        <w:spacing w:after="0" w:line="240" w:lineRule="auto"/>
      </w:pPr>
      <w:r>
        <w:t>--</w:t>
      </w:r>
    </w:p>
    <w:p w14:paraId="32CEB7B1" w14:textId="77777777" w:rsidR="00546932" w:rsidRDefault="00546932" w:rsidP="00546932">
      <w:pPr>
        <w:spacing w:after="0" w:line="240" w:lineRule="auto"/>
      </w:pPr>
      <w:r w:rsidRPr="00546932">
        <w:t>25/05/2012</w:t>
      </w:r>
      <w:r>
        <w:t>: Based on continuing evaluation of the progressive</w:t>
      </w:r>
    </w:p>
    <w:p w14:paraId="3F69CC3B" w14:textId="77777777" w:rsidR="00546932" w:rsidRDefault="00546932" w:rsidP="00546932">
      <w:pPr>
        <w:spacing w:after="0" w:line="240" w:lineRule="auto"/>
      </w:pPr>
      <w:r>
        <w:t>multifocal leukoencephalopathy (PML) incidence rates the</w:t>
      </w:r>
    </w:p>
    <w:p w14:paraId="58CCBF7C" w14:textId="77777777" w:rsidR="00546932" w:rsidRDefault="00546932" w:rsidP="00546932">
      <w:pPr>
        <w:spacing w:after="0" w:line="240" w:lineRule="auto"/>
      </w:pPr>
      <w:r>
        <w:t>risk stratification algorithm has been updated based on</w:t>
      </w:r>
    </w:p>
    <w:p w14:paraId="41DADFE6" w14:textId="77777777" w:rsidR="00546932" w:rsidRDefault="00546932" w:rsidP="00546932">
      <w:pPr>
        <w:spacing w:after="0" w:line="240" w:lineRule="auto"/>
      </w:pPr>
      <w:proofErr w:type="spellStart"/>
      <w:r>
        <w:t>postmarketing</w:t>
      </w:r>
      <w:proofErr w:type="spellEnd"/>
      <w:r>
        <w:t xml:space="preserve"> data, resulting in changes to the PML</w:t>
      </w:r>
    </w:p>
    <w:p w14:paraId="04CC4AF5" w14:textId="77777777" w:rsidR="00546932" w:rsidRDefault="00546932" w:rsidP="00546932">
      <w:pPr>
        <w:spacing w:after="0" w:line="240" w:lineRule="auto"/>
      </w:pPr>
      <w:r>
        <w:t>incidence figures for patients with antibodies against JCV or</w:t>
      </w:r>
    </w:p>
    <w:p w14:paraId="2C6448A9" w14:textId="77777777" w:rsidR="00546932" w:rsidRDefault="00546932" w:rsidP="00546932">
      <w:pPr>
        <w:spacing w:after="0" w:line="240" w:lineRule="auto"/>
      </w:pPr>
      <w:r>
        <w:t>more additional risk factors. The CHMP considered that</w:t>
      </w:r>
    </w:p>
    <w:p w14:paraId="1E4442F4" w14:textId="77777777" w:rsidR="00546932" w:rsidRDefault="00546932" w:rsidP="00546932">
      <w:pPr>
        <w:spacing w:after="0" w:line="240" w:lineRule="auto"/>
      </w:pPr>
      <w:r>
        <w:t>these revised PML incidence rates are not significantly</w:t>
      </w:r>
    </w:p>
    <w:p w14:paraId="0FA5077A" w14:textId="350FD7AA" w:rsidR="00546932" w:rsidRDefault="00546932" w:rsidP="00546932">
      <w:pPr>
        <w:spacing w:after="0" w:line="240" w:lineRule="auto"/>
      </w:pPr>
      <w:r>
        <w:t>different from the numbers that were included in the</w:t>
      </w:r>
    </w:p>
    <w:p w14:paraId="4F8EB31F" w14:textId="77777777" w:rsidR="00546932" w:rsidRDefault="00546932" w:rsidP="00546932">
      <w:pPr>
        <w:spacing w:after="0" w:line="240" w:lineRule="auto"/>
      </w:pPr>
      <w:r>
        <w:t>previous version and has concluded that the current</w:t>
      </w:r>
    </w:p>
    <w:p w14:paraId="307A9683" w14:textId="77777777" w:rsidR="00546932" w:rsidRDefault="00546932" w:rsidP="00546932">
      <w:pPr>
        <w:spacing w:after="0" w:line="240" w:lineRule="auto"/>
      </w:pPr>
      <w:r>
        <w:lastRenderedPageBreak/>
        <w:t>benefit/risk assessment for the use of Tysabri in the</w:t>
      </w:r>
    </w:p>
    <w:p w14:paraId="69ECE8CB" w14:textId="77777777" w:rsidR="00546932" w:rsidRDefault="00546932" w:rsidP="00546932">
      <w:pPr>
        <w:spacing w:after="0" w:line="240" w:lineRule="auto"/>
      </w:pPr>
      <w:r>
        <w:t>indicated population remains unaltered. However, given</w:t>
      </w:r>
    </w:p>
    <w:p w14:paraId="40AB9F58" w14:textId="77777777" w:rsidR="00546932" w:rsidRDefault="00546932" w:rsidP="00546932">
      <w:pPr>
        <w:spacing w:after="0" w:line="240" w:lineRule="auto"/>
      </w:pPr>
      <w:r>
        <w:t>that these numbers have changed, and will most likely</w:t>
      </w:r>
    </w:p>
    <w:p w14:paraId="130CC684" w14:textId="77777777" w:rsidR="00546932" w:rsidRDefault="00546932" w:rsidP="00546932">
      <w:pPr>
        <w:spacing w:after="0" w:line="240" w:lineRule="auto"/>
      </w:pPr>
      <w:r>
        <w:t>continue to vary, the CHMP agreed to amend the statement</w:t>
      </w:r>
    </w:p>
    <w:p w14:paraId="6C287DBB" w14:textId="77777777" w:rsidR="00546932" w:rsidRDefault="00546932" w:rsidP="00546932">
      <w:pPr>
        <w:spacing w:after="0" w:line="240" w:lineRule="auto"/>
      </w:pPr>
      <w:r>
        <w:t>in the SmPC by removing specific reference to the PML</w:t>
      </w:r>
    </w:p>
    <w:p w14:paraId="686C6F95" w14:textId="77777777" w:rsidR="00546932" w:rsidRDefault="00546932" w:rsidP="00546932">
      <w:pPr>
        <w:spacing w:after="0" w:line="240" w:lineRule="auto"/>
      </w:pPr>
      <w:r>
        <w:t>incidence estimates in order to replace it with a qualitative</w:t>
      </w:r>
    </w:p>
    <w:p w14:paraId="2301A2B0" w14:textId="77777777" w:rsidR="00546932" w:rsidRDefault="00546932" w:rsidP="00546932">
      <w:pPr>
        <w:spacing w:after="0" w:line="240" w:lineRule="auto"/>
      </w:pPr>
      <w:r>
        <w:t>statement on the level of PML risk in the high risk</w:t>
      </w:r>
    </w:p>
    <w:p w14:paraId="10CB0192" w14:textId="77777777" w:rsidR="00546932" w:rsidRDefault="00546932" w:rsidP="00546932">
      <w:pPr>
        <w:spacing w:after="0" w:line="240" w:lineRule="auto"/>
      </w:pPr>
      <w:r>
        <w:t>subgroup, particularly since updated estimates will continue</w:t>
      </w:r>
    </w:p>
    <w:p w14:paraId="57080A64" w14:textId="77777777" w:rsidR="00546932" w:rsidRDefault="00546932" w:rsidP="00546932">
      <w:pPr>
        <w:spacing w:after="0" w:line="240" w:lineRule="auto"/>
      </w:pPr>
      <w:r>
        <w:t>to be presented in the Physician Information and</w:t>
      </w:r>
    </w:p>
    <w:p w14:paraId="6A837BB0" w14:textId="77777777" w:rsidR="00546932" w:rsidRDefault="00546932" w:rsidP="00546932">
      <w:pPr>
        <w:spacing w:after="0" w:line="240" w:lineRule="auto"/>
      </w:pPr>
      <w:r>
        <w:t>Management Guidelines and the treatment forms. The text</w:t>
      </w:r>
    </w:p>
    <w:p w14:paraId="512CF537" w14:textId="77777777" w:rsidR="00546932" w:rsidRDefault="00546932" w:rsidP="00546932">
      <w:pPr>
        <w:spacing w:after="0" w:line="240" w:lineRule="auto"/>
      </w:pPr>
      <w:r>
        <w:t xml:space="preserve">on treatment continuation in patients with all three </w:t>
      </w:r>
      <w:proofErr w:type="gramStart"/>
      <w:r>
        <w:t>risk</w:t>
      </w:r>
      <w:proofErr w:type="gramEnd"/>
    </w:p>
    <w:p w14:paraId="44C8167F" w14:textId="77777777" w:rsidR="00546932" w:rsidRDefault="00546932" w:rsidP="00546932">
      <w:pPr>
        <w:spacing w:after="0" w:line="240" w:lineRule="auto"/>
      </w:pPr>
      <w:r>
        <w:t xml:space="preserve">factors </w:t>
      </w:r>
      <w:proofErr w:type="gramStart"/>
      <w:r>
        <w:t>was</w:t>
      </w:r>
      <w:proofErr w:type="gramEnd"/>
      <w:r>
        <w:t xml:space="preserve"> updated to clarify that TYSABRI should only be</w:t>
      </w:r>
    </w:p>
    <w:p w14:paraId="4B13E5F8" w14:textId="77777777" w:rsidR="00546932" w:rsidRDefault="00546932" w:rsidP="00546932">
      <w:pPr>
        <w:spacing w:after="0" w:line="240" w:lineRule="auto"/>
      </w:pPr>
      <w:r>
        <w:t>continued if the benefits outweigh the risks.</w:t>
      </w:r>
    </w:p>
    <w:p w14:paraId="556A4125" w14:textId="77777777" w:rsidR="00546932" w:rsidRDefault="00546932" w:rsidP="00546932">
      <w:pPr>
        <w:spacing w:after="0" w:line="240" w:lineRule="auto"/>
      </w:pPr>
      <w:r>
        <w:t>For JCV antibodies, the CHMP also agreed to reflect that</w:t>
      </w:r>
    </w:p>
    <w:p w14:paraId="6852116A" w14:textId="77777777" w:rsidR="00546932" w:rsidRDefault="00546932" w:rsidP="00546932">
      <w:pPr>
        <w:spacing w:after="0" w:line="240" w:lineRule="auto"/>
      </w:pPr>
      <w:r>
        <w:t>this test should not be used for PML diagnosis in the</w:t>
      </w:r>
    </w:p>
    <w:p w14:paraId="2F72FBB5" w14:textId="77777777" w:rsidR="00546932" w:rsidRDefault="00546932" w:rsidP="00546932">
      <w:pPr>
        <w:spacing w:after="0" w:line="240" w:lineRule="auto"/>
      </w:pPr>
      <w:r>
        <w:t>absence of supportive data. In addition, on the basis of the</w:t>
      </w:r>
    </w:p>
    <w:p w14:paraId="692F0D51" w14:textId="77777777" w:rsidR="00546932" w:rsidRDefault="00546932" w:rsidP="00546932">
      <w:pPr>
        <w:spacing w:after="0" w:line="240" w:lineRule="auto"/>
      </w:pPr>
      <w:r>
        <w:t>review of further data, the CHMP agreed that anti-JCV</w:t>
      </w:r>
    </w:p>
    <w:p w14:paraId="4D1ECFF7" w14:textId="77777777" w:rsidR="00546932" w:rsidRDefault="00546932" w:rsidP="00546932">
      <w:pPr>
        <w:spacing w:after="0" w:line="240" w:lineRule="auto"/>
      </w:pPr>
      <w:r>
        <w:t xml:space="preserve">antibodies samples must not </w:t>
      </w:r>
      <w:proofErr w:type="gramStart"/>
      <w:r>
        <w:t>been</w:t>
      </w:r>
      <w:proofErr w:type="gramEnd"/>
      <w:r>
        <w:t xml:space="preserve"> drawn during or for at</w:t>
      </w:r>
    </w:p>
    <w:p w14:paraId="321D1404" w14:textId="77777777" w:rsidR="00546932" w:rsidRDefault="00546932" w:rsidP="00546932">
      <w:pPr>
        <w:spacing w:after="0" w:line="240" w:lineRule="auto"/>
      </w:pPr>
      <w:r>
        <w:t>least two weeks following the plasma exchange treatment</w:t>
      </w:r>
    </w:p>
    <w:p w14:paraId="2095BCC4" w14:textId="77777777" w:rsidR="00546932" w:rsidRDefault="00546932" w:rsidP="00546932">
      <w:pPr>
        <w:spacing w:after="0" w:line="240" w:lineRule="auto"/>
      </w:pPr>
      <w:r>
        <w:t>(PLEX), since this may reduce the risk of collecting</w:t>
      </w:r>
    </w:p>
    <w:p w14:paraId="2B77607B" w14:textId="77777777" w:rsidR="00546932" w:rsidRDefault="00546932" w:rsidP="00546932">
      <w:pPr>
        <w:spacing w:after="0" w:line="240" w:lineRule="auto"/>
      </w:pPr>
      <w:r>
        <w:t>inaccurate data and hence accepted that this information is</w:t>
      </w:r>
    </w:p>
    <w:p w14:paraId="3BD1544C" w14:textId="77E046DD" w:rsidR="00546932" w:rsidRDefault="00546932" w:rsidP="00546932">
      <w:pPr>
        <w:spacing w:after="0" w:line="240" w:lineRule="auto"/>
      </w:pPr>
      <w:r>
        <w:t>added into the SmPC.</w:t>
      </w:r>
    </w:p>
    <w:p w14:paraId="720B89DD" w14:textId="49C38AD1" w:rsidR="00546932" w:rsidRDefault="00546932" w:rsidP="00546932">
      <w:pPr>
        <w:spacing w:after="0" w:line="240" w:lineRule="auto"/>
      </w:pPr>
      <w:r>
        <w:t>--</w:t>
      </w:r>
    </w:p>
    <w:p w14:paraId="6DB143B9" w14:textId="447FFB34" w:rsidR="00546932" w:rsidRDefault="00546932" w:rsidP="00546932">
      <w:pPr>
        <w:spacing w:after="0" w:line="240" w:lineRule="auto"/>
      </w:pPr>
    </w:p>
    <w:p w14:paraId="2BCD30FF" w14:textId="77777777" w:rsidR="00F35D0E" w:rsidRDefault="00F35D0E" w:rsidP="00F35D0E">
      <w:pPr>
        <w:spacing w:after="0" w:line="240" w:lineRule="auto"/>
      </w:pPr>
      <w:r w:rsidRPr="00F35D0E">
        <w:t>16/06/2011</w:t>
      </w:r>
      <w:r>
        <w:t>: PML is associated with an uncontrolled increase of the JC</w:t>
      </w:r>
    </w:p>
    <w:p w14:paraId="7CD4E26A" w14:textId="3EBF5AB6" w:rsidR="00546932" w:rsidRDefault="00F35D0E" w:rsidP="00F35D0E">
      <w:pPr>
        <w:spacing w:after="0" w:line="240" w:lineRule="auto"/>
      </w:pPr>
      <w:r>
        <w:t>virus in the brain, although the reason for this increase in</w:t>
      </w:r>
    </w:p>
    <w:p w14:paraId="7F3F7781" w14:textId="77777777" w:rsidR="00F35D0E" w:rsidRDefault="00F35D0E" w:rsidP="00F35D0E">
      <w:pPr>
        <w:spacing w:after="0" w:line="240" w:lineRule="auto"/>
      </w:pPr>
      <w:r>
        <w:t>some patients treated with TYSABRI is unknown. JC virus is</w:t>
      </w:r>
    </w:p>
    <w:p w14:paraId="40D892EA" w14:textId="77777777" w:rsidR="00F35D0E" w:rsidRDefault="00F35D0E" w:rsidP="00F35D0E">
      <w:pPr>
        <w:spacing w:after="0" w:line="240" w:lineRule="auto"/>
      </w:pPr>
      <w:r>
        <w:t>a common virus which infects many people but does not</w:t>
      </w:r>
    </w:p>
    <w:p w14:paraId="4F88E902" w14:textId="77777777" w:rsidR="00F35D0E" w:rsidRDefault="00F35D0E" w:rsidP="00F35D0E">
      <w:pPr>
        <w:spacing w:after="0" w:line="240" w:lineRule="auto"/>
      </w:pPr>
      <w:r>
        <w:t>normally cause noticeable illness.</w:t>
      </w:r>
    </w:p>
    <w:p w14:paraId="525FCEF0" w14:textId="77777777" w:rsidR="00F35D0E" w:rsidRDefault="00F35D0E" w:rsidP="00F35D0E">
      <w:pPr>
        <w:spacing w:after="0" w:line="240" w:lineRule="auto"/>
      </w:pPr>
      <w:r>
        <w:t>The risk of PML with TYSABRI is higher:</w:t>
      </w:r>
    </w:p>
    <w:p w14:paraId="4092A587" w14:textId="77777777" w:rsidR="00F35D0E" w:rsidRDefault="00F35D0E" w:rsidP="00F35D0E">
      <w:pPr>
        <w:spacing w:after="0" w:line="240" w:lineRule="auto"/>
      </w:pPr>
      <w:r>
        <w:t>" The longer that you are on treatment especially if</w:t>
      </w:r>
    </w:p>
    <w:p w14:paraId="54E50BCD" w14:textId="77777777" w:rsidR="00F35D0E" w:rsidRDefault="00F35D0E" w:rsidP="00F35D0E">
      <w:pPr>
        <w:spacing w:after="0" w:line="240" w:lineRule="auto"/>
      </w:pPr>
      <w:r>
        <w:t>you have been on treatment for more than two years. It is</w:t>
      </w:r>
    </w:p>
    <w:p w14:paraId="7202968E" w14:textId="77777777" w:rsidR="00F35D0E" w:rsidRDefault="00F35D0E" w:rsidP="00F35D0E">
      <w:pPr>
        <w:spacing w:after="0" w:line="240" w:lineRule="auto"/>
      </w:pPr>
      <w:r>
        <w:t>not known if the chance of getting PML continues to rise,</w:t>
      </w:r>
    </w:p>
    <w:p w14:paraId="6856B2AE" w14:textId="77777777" w:rsidR="00F35D0E" w:rsidRDefault="00F35D0E" w:rsidP="00F35D0E">
      <w:pPr>
        <w:spacing w:after="0" w:line="240" w:lineRule="auto"/>
      </w:pPr>
      <w:r>
        <w:t>remains the same, or falls after you have been on TYSABRI</w:t>
      </w:r>
    </w:p>
    <w:p w14:paraId="6111A908" w14:textId="77777777" w:rsidR="00F35D0E" w:rsidRDefault="00F35D0E" w:rsidP="00F35D0E">
      <w:pPr>
        <w:spacing w:after="0" w:line="240" w:lineRule="auto"/>
      </w:pPr>
      <w:r>
        <w:t>for more than three years.</w:t>
      </w:r>
    </w:p>
    <w:p w14:paraId="7D8E805A" w14:textId="77777777" w:rsidR="00F35D0E" w:rsidRDefault="00F35D0E" w:rsidP="00F35D0E">
      <w:pPr>
        <w:spacing w:after="0" w:line="240" w:lineRule="auto"/>
      </w:pPr>
      <w:r>
        <w:t>" If you have previously taken a medicine called an</w:t>
      </w:r>
    </w:p>
    <w:p w14:paraId="5EDF04D7" w14:textId="77777777" w:rsidR="00F35D0E" w:rsidRDefault="00F35D0E" w:rsidP="00F35D0E">
      <w:pPr>
        <w:spacing w:after="0" w:line="240" w:lineRule="auto"/>
      </w:pPr>
      <w:r>
        <w:t>immunosuppressant. These medicines reduce the activity of</w:t>
      </w:r>
    </w:p>
    <w:p w14:paraId="2CC98798" w14:textId="77777777" w:rsidR="00F35D0E" w:rsidRDefault="00F35D0E" w:rsidP="00F35D0E">
      <w:pPr>
        <w:spacing w:after="0" w:line="240" w:lineRule="auto"/>
      </w:pPr>
      <w:r>
        <w:t>your body's immune system.</w:t>
      </w:r>
    </w:p>
    <w:p w14:paraId="4A63A3BE" w14:textId="77777777" w:rsidR="00F35D0E" w:rsidRDefault="00F35D0E" w:rsidP="00F35D0E">
      <w:pPr>
        <w:spacing w:after="0" w:line="240" w:lineRule="auto"/>
      </w:pPr>
      <w:r>
        <w:t>" If you have antibodies to the JC virus in your blood.</w:t>
      </w:r>
    </w:p>
    <w:p w14:paraId="6B8D7B79" w14:textId="77777777" w:rsidR="00F35D0E" w:rsidRDefault="00F35D0E" w:rsidP="00F35D0E">
      <w:pPr>
        <w:spacing w:after="0" w:line="240" w:lineRule="auto"/>
      </w:pPr>
      <w:r>
        <w:t>These antibodies are a sign that you have been infected by</w:t>
      </w:r>
    </w:p>
    <w:p w14:paraId="2DC6CDCA" w14:textId="77777777" w:rsidR="00F35D0E" w:rsidRDefault="00F35D0E" w:rsidP="00F35D0E">
      <w:pPr>
        <w:spacing w:after="0" w:line="240" w:lineRule="auto"/>
      </w:pPr>
      <w:r>
        <w:t>JC virus.</w:t>
      </w:r>
    </w:p>
    <w:p w14:paraId="3ED18989" w14:textId="77777777" w:rsidR="00F35D0E" w:rsidRDefault="00F35D0E" w:rsidP="00F35D0E">
      <w:pPr>
        <w:spacing w:after="0" w:line="240" w:lineRule="auto"/>
      </w:pPr>
      <w:r>
        <w:t>Patients who have all three risk factors for PML (i.e., have</w:t>
      </w:r>
    </w:p>
    <w:p w14:paraId="07962DBB" w14:textId="77777777" w:rsidR="00F35D0E" w:rsidRDefault="00F35D0E" w:rsidP="00F35D0E">
      <w:pPr>
        <w:spacing w:after="0" w:line="240" w:lineRule="auto"/>
      </w:pPr>
      <w:r>
        <w:t>received more than 2 years of TYSABRI therapy, and have</w:t>
      </w:r>
    </w:p>
    <w:p w14:paraId="2765140F" w14:textId="77777777" w:rsidR="00F35D0E" w:rsidRDefault="00F35D0E" w:rsidP="00F35D0E">
      <w:pPr>
        <w:spacing w:after="0" w:line="240" w:lineRule="auto"/>
      </w:pPr>
      <w:r>
        <w:t>received prior immunosuppressant therapy and are anti-</w:t>
      </w:r>
    </w:p>
    <w:p w14:paraId="6BBF54F8" w14:textId="77777777" w:rsidR="00F35D0E" w:rsidRDefault="00F35D0E" w:rsidP="00F35D0E">
      <w:pPr>
        <w:spacing w:after="0" w:line="240" w:lineRule="auto"/>
      </w:pPr>
      <w:r>
        <w:t>JCV antibody positive) have the highest risk of PML at</w:t>
      </w:r>
    </w:p>
    <w:p w14:paraId="262B9FE9" w14:textId="77777777" w:rsidR="00F35D0E" w:rsidRDefault="00F35D0E" w:rsidP="00F35D0E">
      <w:pPr>
        <w:spacing w:after="0" w:line="240" w:lineRule="auto"/>
      </w:pPr>
      <w:r>
        <w:t>approximately 9 in 1,000 patients treated.</w:t>
      </w:r>
    </w:p>
    <w:p w14:paraId="72A2842F" w14:textId="77777777" w:rsidR="00F35D0E" w:rsidRDefault="00F35D0E" w:rsidP="00F35D0E">
      <w:pPr>
        <w:spacing w:after="0" w:line="240" w:lineRule="auto"/>
      </w:pPr>
      <w:r>
        <w:t>Testing for serum anti-JCV antibody prior to initiating</w:t>
      </w:r>
    </w:p>
    <w:p w14:paraId="5FB5F768" w14:textId="77777777" w:rsidR="00F35D0E" w:rsidRDefault="00F35D0E" w:rsidP="00F35D0E">
      <w:pPr>
        <w:spacing w:after="0" w:line="240" w:lineRule="auto"/>
      </w:pPr>
      <w:r>
        <w:t>TYSABRI therapy or in patients who are already being</w:t>
      </w:r>
    </w:p>
    <w:p w14:paraId="62E14631" w14:textId="77777777" w:rsidR="00F35D0E" w:rsidRDefault="00F35D0E" w:rsidP="00F35D0E">
      <w:pPr>
        <w:spacing w:after="0" w:line="240" w:lineRule="auto"/>
      </w:pPr>
      <w:r>
        <w:t>treated with TYSABRI but who have not previously been</w:t>
      </w:r>
    </w:p>
    <w:p w14:paraId="774EB7D7" w14:textId="77777777" w:rsidR="00F35D0E" w:rsidRDefault="00F35D0E" w:rsidP="00F35D0E">
      <w:pPr>
        <w:spacing w:after="0" w:line="240" w:lineRule="auto"/>
      </w:pPr>
      <w:r>
        <w:t>tested may provide additional information on the level of</w:t>
      </w:r>
    </w:p>
    <w:p w14:paraId="4E07D866" w14:textId="04E68B2C" w:rsidR="00F35D0E" w:rsidRDefault="00F35D0E" w:rsidP="00F35D0E">
      <w:pPr>
        <w:spacing w:after="0" w:line="240" w:lineRule="auto"/>
      </w:pPr>
      <w:r>
        <w:t>risk for PML.</w:t>
      </w:r>
    </w:p>
    <w:p w14:paraId="27F236AA" w14:textId="532318E0" w:rsidR="00F35D0E" w:rsidRDefault="00F35D0E" w:rsidP="00F35D0E">
      <w:pPr>
        <w:spacing w:after="0" w:line="240" w:lineRule="auto"/>
      </w:pPr>
      <w:r>
        <w:lastRenderedPageBreak/>
        <w:t>--</w:t>
      </w:r>
    </w:p>
    <w:p w14:paraId="047E3577" w14:textId="78D5B732" w:rsidR="00F35D0E" w:rsidRDefault="00F35D0E" w:rsidP="00F35D0E">
      <w:pPr>
        <w:spacing w:after="0" w:line="240" w:lineRule="auto"/>
      </w:pPr>
    </w:p>
    <w:p w14:paraId="57A33B6D" w14:textId="77777777" w:rsidR="00F35D0E" w:rsidRDefault="00F35D0E" w:rsidP="00F35D0E">
      <w:pPr>
        <w:spacing w:after="0" w:line="240" w:lineRule="auto"/>
      </w:pPr>
      <w:r w:rsidRPr="00F35D0E">
        <w:t>29/11/2010</w:t>
      </w:r>
      <w:r>
        <w:t>: The MAH has analysed the data of 52 Tysabri treated</w:t>
      </w:r>
    </w:p>
    <w:p w14:paraId="39E1F65F" w14:textId="2474D1CE" w:rsidR="00F35D0E" w:rsidRDefault="00F35D0E" w:rsidP="00F35D0E">
      <w:pPr>
        <w:spacing w:after="0" w:line="240" w:lineRule="auto"/>
      </w:pPr>
      <w:r>
        <w:t>patients with confirmed PML in respect of an association</w:t>
      </w:r>
    </w:p>
    <w:p w14:paraId="53178141" w14:textId="77777777" w:rsidR="00F35D0E" w:rsidRDefault="00F35D0E" w:rsidP="00F35D0E">
      <w:pPr>
        <w:spacing w:after="0" w:line="240" w:lineRule="auto"/>
      </w:pPr>
      <w:r>
        <w:t>with prior immunosuppressant use (IS). The presented</w:t>
      </w:r>
    </w:p>
    <w:p w14:paraId="47C66A90" w14:textId="77777777" w:rsidR="00F35D0E" w:rsidRDefault="00F35D0E" w:rsidP="00F35D0E">
      <w:pPr>
        <w:spacing w:after="0" w:line="240" w:lineRule="auto"/>
      </w:pPr>
      <w:r>
        <w:t>data indicate that prior IS use increases the risk of PML</w:t>
      </w:r>
    </w:p>
    <w:p w14:paraId="21F2E8E3" w14:textId="77777777" w:rsidR="00F35D0E" w:rsidRDefault="00F35D0E" w:rsidP="00F35D0E">
      <w:pPr>
        <w:spacing w:after="0" w:line="240" w:lineRule="auto"/>
      </w:pPr>
      <w:r>
        <w:t>independent of the duration of Tysabri therapy.</w:t>
      </w:r>
    </w:p>
    <w:p w14:paraId="7EDD0662" w14:textId="77777777" w:rsidR="00F35D0E" w:rsidRDefault="00F35D0E" w:rsidP="00F35D0E">
      <w:pPr>
        <w:spacing w:after="0" w:line="240" w:lineRule="auto"/>
      </w:pPr>
      <w:r>
        <w:t>Sections 4.2 and 4.4 of the SmPC have been updated to</w:t>
      </w:r>
    </w:p>
    <w:p w14:paraId="004AC71B" w14:textId="77777777" w:rsidR="00F35D0E" w:rsidRDefault="00F35D0E" w:rsidP="00F35D0E">
      <w:pPr>
        <w:spacing w:after="0" w:line="240" w:lineRule="auto"/>
      </w:pPr>
      <w:r>
        <w:t>reflect the above and the following text has been added to</w:t>
      </w:r>
    </w:p>
    <w:p w14:paraId="4FC500B1" w14:textId="77777777" w:rsidR="00F35D0E" w:rsidRDefault="00F35D0E" w:rsidP="00F35D0E">
      <w:pPr>
        <w:spacing w:after="0" w:line="240" w:lineRule="auto"/>
      </w:pPr>
      <w:r>
        <w:t>section 2 of the package leaflet:</w:t>
      </w:r>
    </w:p>
    <w:p w14:paraId="53B874BF" w14:textId="77777777" w:rsidR="00F35D0E" w:rsidRDefault="00F35D0E" w:rsidP="00F35D0E">
      <w:pPr>
        <w:spacing w:after="0" w:line="240" w:lineRule="auto"/>
      </w:pPr>
      <w:r>
        <w:t>"The risk of PML is also greater if you have previously taken</w:t>
      </w:r>
    </w:p>
    <w:p w14:paraId="6663A192" w14:textId="77777777" w:rsidR="00F35D0E" w:rsidRDefault="00F35D0E" w:rsidP="00F35D0E">
      <w:pPr>
        <w:spacing w:after="0" w:line="240" w:lineRule="auto"/>
      </w:pPr>
      <w:r>
        <w:t>a medicine that weakens your immune system."</w:t>
      </w:r>
    </w:p>
    <w:p w14:paraId="173A443E" w14:textId="77777777" w:rsidR="00F35D0E" w:rsidRDefault="00F35D0E" w:rsidP="00F35D0E">
      <w:pPr>
        <w:spacing w:after="0" w:line="240" w:lineRule="auto"/>
      </w:pPr>
      <w:r>
        <w:t>In addition, it was agreed that the following warning</w:t>
      </w:r>
    </w:p>
    <w:p w14:paraId="3158CF13" w14:textId="77777777" w:rsidR="00F35D0E" w:rsidRDefault="00F35D0E" w:rsidP="00F35D0E">
      <w:pPr>
        <w:spacing w:after="0" w:line="240" w:lineRule="auto"/>
      </w:pPr>
      <w:r>
        <w:t>statement would be added in the treatment initiation and</w:t>
      </w:r>
    </w:p>
    <w:p w14:paraId="370CC97F" w14:textId="77777777" w:rsidR="00F35D0E" w:rsidRDefault="00F35D0E" w:rsidP="00F35D0E">
      <w:pPr>
        <w:spacing w:after="0" w:line="240" w:lineRule="auto"/>
      </w:pPr>
      <w:r>
        <w:t>treatment continuation forms: "The risk of PML is also</w:t>
      </w:r>
    </w:p>
    <w:p w14:paraId="009ACC75" w14:textId="77777777" w:rsidR="00F35D0E" w:rsidRDefault="00F35D0E" w:rsidP="00F35D0E">
      <w:pPr>
        <w:spacing w:after="0" w:line="240" w:lineRule="auto"/>
      </w:pPr>
      <w:r>
        <w:t>greater if you have previously taken a medicine called an</w:t>
      </w:r>
    </w:p>
    <w:p w14:paraId="4DA24446" w14:textId="77777777" w:rsidR="00F35D0E" w:rsidRDefault="00F35D0E" w:rsidP="00F35D0E">
      <w:pPr>
        <w:spacing w:after="0" w:line="240" w:lineRule="auto"/>
      </w:pPr>
      <w:r>
        <w:t>immunosuppressant that reduces the activity of your body's</w:t>
      </w:r>
    </w:p>
    <w:p w14:paraId="65220BDE" w14:textId="77777777" w:rsidR="00F35D0E" w:rsidRDefault="00F35D0E" w:rsidP="00F35D0E">
      <w:pPr>
        <w:spacing w:after="0" w:line="240" w:lineRule="auto"/>
      </w:pPr>
      <w:r>
        <w:t>immune system".</w:t>
      </w:r>
    </w:p>
    <w:p w14:paraId="662E322A" w14:textId="77777777" w:rsidR="00F35D0E" w:rsidRDefault="00F35D0E" w:rsidP="00F35D0E">
      <w:pPr>
        <w:spacing w:after="0" w:line="240" w:lineRule="auto"/>
      </w:pPr>
      <w:r>
        <w:t>Finally, the Product Information has been updated in</w:t>
      </w:r>
    </w:p>
    <w:p w14:paraId="15477264" w14:textId="77777777" w:rsidR="00F35D0E" w:rsidRDefault="00F35D0E" w:rsidP="00F35D0E">
      <w:pPr>
        <w:spacing w:after="0" w:line="240" w:lineRule="auto"/>
      </w:pPr>
      <w:r>
        <w:t>accordance with the latest QRD template (version 7.3.1</w:t>
      </w:r>
    </w:p>
    <w:p w14:paraId="30A18B74" w14:textId="146AEF02" w:rsidR="00F35D0E" w:rsidRDefault="00F35D0E" w:rsidP="00F35D0E">
      <w:pPr>
        <w:spacing w:after="0" w:line="240" w:lineRule="auto"/>
      </w:pPr>
      <w:r>
        <w:t>dated March 2010).</w:t>
      </w:r>
    </w:p>
    <w:p w14:paraId="655FDE97" w14:textId="27389A70" w:rsidR="00F35D0E" w:rsidRDefault="00F35D0E" w:rsidP="00F35D0E">
      <w:pPr>
        <w:spacing w:after="0" w:line="240" w:lineRule="auto"/>
      </w:pPr>
      <w:r>
        <w:t>--</w:t>
      </w:r>
    </w:p>
    <w:p w14:paraId="6EE4B7E1" w14:textId="77777777" w:rsidR="00F35D0E" w:rsidRDefault="00F35D0E" w:rsidP="00F35D0E">
      <w:pPr>
        <w:spacing w:after="0" w:line="240" w:lineRule="auto"/>
      </w:pPr>
      <w:r w:rsidRPr="00F35D0E">
        <w:t>23/01/2009</w:t>
      </w:r>
      <w:r>
        <w:t>: The MAH reviewed in the 3rd PSUR symptoms often</w:t>
      </w:r>
    </w:p>
    <w:p w14:paraId="576F26E0" w14:textId="77777777" w:rsidR="00F35D0E" w:rsidRDefault="00F35D0E" w:rsidP="00F35D0E">
      <w:pPr>
        <w:spacing w:after="0" w:line="240" w:lineRule="auto"/>
      </w:pPr>
      <w:r>
        <w:t>reported concomitantly with possible hypersensitivity</w:t>
      </w:r>
    </w:p>
    <w:p w14:paraId="5E334E31" w14:textId="77777777" w:rsidR="00F35D0E" w:rsidRDefault="00F35D0E" w:rsidP="00F35D0E">
      <w:pPr>
        <w:spacing w:after="0" w:line="240" w:lineRule="auto"/>
      </w:pPr>
      <w:r>
        <w:t>reactions with Tysabri. The most common symptoms</w:t>
      </w:r>
    </w:p>
    <w:p w14:paraId="714BA070" w14:textId="77777777" w:rsidR="00F35D0E" w:rsidRDefault="00F35D0E" w:rsidP="00F35D0E">
      <w:pPr>
        <w:spacing w:after="0" w:line="240" w:lineRule="auto"/>
      </w:pPr>
      <w:r>
        <w:t>included chest pain, dyspnoea, blood pressure increases or</w:t>
      </w:r>
    </w:p>
    <w:p w14:paraId="4189883D" w14:textId="09AD0A87" w:rsidR="00F35D0E" w:rsidRDefault="00F35D0E" w:rsidP="00F35D0E">
      <w:pPr>
        <w:spacing w:after="0" w:line="240" w:lineRule="auto"/>
      </w:pPr>
      <w:r>
        <w:t>decreases, skin and cutaneous disorders (mostly of an</w:t>
      </w:r>
    </w:p>
    <w:p w14:paraId="243B86EB" w14:textId="77777777" w:rsidR="00F35D0E" w:rsidRDefault="00F35D0E" w:rsidP="00F35D0E">
      <w:pPr>
        <w:spacing w:after="0" w:line="240" w:lineRule="auto"/>
      </w:pPr>
      <w:r>
        <w:t>urticarial nature). Angioedema was also rarely reported.</w:t>
      </w:r>
    </w:p>
    <w:p w14:paraId="1AB3A8A9" w14:textId="77777777" w:rsidR="00F35D0E" w:rsidRDefault="00F35D0E" w:rsidP="00F35D0E">
      <w:pPr>
        <w:spacing w:after="0" w:line="240" w:lineRule="auto"/>
      </w:pPr>
      <w:r>
        <w:t>The MAH included the following text to the hypersensitivity</w:t>
      </w:r>
    </w:p>
    <w:p w14:paraId="795A1337" w14:textId="77777777" w:rsidR="00F35D0E" w:rsidRDefault="00F35D0E" w:rsidP="00F35D0E">
      <w:pPr>
        <w:spacing w:after="0" w:line="240" w:lineRule="auto"/>
      </w:pPr>
      <w:r>
        <w:t>section in section 4.8 of the Summary of Product</w:t>
      </w:r>
    </w:p>
    <w:p w14:paraId="0FA00B30" w14:textId="77777777" w:rsidR="00F35D0E" w:rsidRDefault="00F35D0E" w:rsidP="00F35D0E">
      <w:pPr>
        <w:spacing w:after="0" w:line="240" w:lineRule="auto"/>
      </w:pPr>
      <w:r>
        <w:t>Characteristics: "In post-marketing experience, there have</w:t>
      </w:r>
    </w:p>
    <w:p w14:paraId="09D9DAA0" w14:textId="77777777" w:rsidR="00F35D0E" w:rsidRDefault="00F35D0E" w:rsidP="00F35D0E">
      <w:pPr>
        <w:spacing w:after="0" w:line="240" w:lineRule="auto"/>
      </w:pPr>
      <w:r>
        <w:t>been reports of hypersensitivity reactions which have</w:t>
      </w:r>
    </w:p>
    <w:p w14:paraId="05A4E9B8" w14:textId="77777777" w:rsidR="00F35D0E" w:rsidRDefault="00F35D0E" w:rsidP="00F35D0E">
      <w:pPr>
        <w:spacing w:after="0" w:line="240" w:lineRule="auto"/>
      </w:pPr>
      <w:r>
        <w:t>occurred with one or more of the following associated</w:t>
      </w:r>
    </w:p>
    <w:p w14:paraId="22A6F729" w14:textId="77777777" w:rsidR="00F35D0E" w:rsidRDefault="00F35D0E" w:rsidP="00F35D0E">
      <w:pPr>
        <w:spacing w:after="0" w:line="240" w:lineRule="auto"/>
      </w:pPr>
      <w:r>
        <w:t>symptoms: hypotension, hypertension, chest pain, chest</w:t>
      </w:r>
    </w:p>
    <w:p w14:paraId="7A64A606" w14:textId="77777777" w:rsidR="00F35D0E" w:rsidRDefault="00F35D0E" w:rsidP="00F35D0E">
      <w:pPr>
        <w:spacing w:after="0" w:line="240" w:lineRule="auto"/>
      </w:pPr>
      <w:r>
        <w:t>discomfort, dyspnoea, angioedema, in addition to more</w:t>
      </w:r>
    </w:p>
    <w:p w14:paraId="4E7994DD" w14:textId="40F76450" w:rsidR="00F35D0E" w:rsidRDefault="00F35D0E" w:rsidP="00F35D0E">
      <w:pPr>
        <w:spacing w:after="0" w:line="240" w:lineRule="auto"/>
      </w:pPr>
      <w:r>
        <w:t>usual symptoms such as rash and urticaria."</w:t>
      </w:r>
    </w:p>
    <w:p w14:paraId="6DD036D1" w14:textId="17FE56CA" w:rsidR="00F35D0E" w:rsidRDefault="00F35D0E" w:rsidP="00F35D0E">
      <w:pPr>
        <w:spacing w:after="0" w:line="240" w:lineRule="auto"/>
      </w:pPr>
      <w:r>
        <w:t>--</w:t>
      </w:r>
    </w:p>
    <w:p w14:paraId="11CFA1E5" w14:textId="77777777" w:rsidR="003057D5" w:rsidRDefault="003057D5" w:rsidP="003057D5">
      <w:pPr>
        <w:spacing w:after="0" w:line="240" w:lineRule="auto"/>
      </w:pPr>
      <w:r w:rsidRPr="003057D5">
        <w:t>30/10/2008</w:t>
      </w:r>
      <w:r>
        <w:t>: Approximately 38,700 patients have been treated</w:t>
      </w:r>
    </w:p>
    <w:p w14:paraId="65828A22" w14:textId="77777777" w:rsidR="003057D5" w:rsidRDefault="003057D5" w:rsidP="003057D5">
      <w:pPr>
        <w:spacing w:after="0" w:line="240" w:lineRule="auto"/>
      </w:pPr>
      <w:r>
        <w:t>worldwide with Tysabri (natalizumab) since it has been</w:t>
      </w:r>
    </w:p>
    <w:p w14:paraId="5BFA202D" w14:textId="77777777" w:rsidR="003057D5" w:rsidRDefault="003057D5" w:rsidP="003057D5">
      <w:pPr>
        <w:spacing w:after="0" w:line="240" w:lineRule="auto"/>
      </w:pPr>
      <w:r>
        <w:t>approved, and 4,650 patients received Tysabri during</w:t>
      </w:r>
    </w:p>
    <w:p w14:paraId="25B158C8" w14:textId="77777777" w:rsidR="003057D5" w:rsidRDefault="003057D5" w:rsidP="003057D5">
      <w:pPr>
        <w:spacing w:after="0" w:line="240" w:lineRule="auto"/>
      </w:pPr>
      <w:r>
        <w:t>clinical trials. Two cases of a rare brain infection called</w:t>
      </w:r>
    </w:p>
    <w:p w14:paraId="1FA7C2DB" w14:textId="77777777" w:rsidR="003057D5" w:rsidRDefault="003057D5" w:rsidP="003057D5">
      <w:pPr>
        <w:spacing w:after="0" w:line="240" w:lineRule="auto"/>
      </w:pPr>
      <w:r>
        <w:t xml:space="preserve">progressive multifocal leukoencephalopathy (PML) </w:t>
      </w:r>
      <w:proofErr w:type="gramStart"/>
      <w:r>
        <w:t>have</w:t>
      </w:r>
      <w:proofErr w:type="gramEnd"/>
    </w:p>
    <w:p w14:paraId="01EB0901" w14:textId="77777777" w:rsidR="003057D5" w:rsidRDefault="003057D5" w:rsidP="003057D5">
      <w:pPr>
        <w:spacing w:after="0" w:line="240" w:lineRule="auto"/>
      </w:pPr>
      <w:r>
        <w:t>been confirmed since the product is on the market phase in</w:t>
      </w:r>
    </w:p>
    <w:p w14:paraId="30C51CBE" w14:textId="77777777" w:rsidR="003057D5" w:rsidRDefault="003057D5" w:rsidP="003057D5">
      <w:pPr>
        <w:spacing w:after="0" w:line="240" w:lineRule="auto"/>
      </w:pPr>
      <w:r>
        <w:t>multiple sclerosis patients treated with Tysabri. Two PML</w:t>
      </w:r>
    </w:p>
    <w:p w14:paraId="14EC7367" w14:textId="77777777" w:rsidR="003057D5" w:rsidRDefault="003057D5" w:rsidP="003057D5">
      <w:pPr>
        <w:spacing w:after="0" w:line="240" w:lineRule="auto"/>
      </w:pPr>
      <w:r>
        <w:t>cases were previously reported during clinical trials in</w:t>
      </w:r>
    </w:p>
    <w:p w14:paraId="4E1400BF" w14:textId="77777777" w:rsidR="003057D5" w:rsidRDefault="003057D5" w:rsidP="003057D5">
      <w:pPr>
        <w:spacing w:after="0" w:line="240" w:lineRule="auto"/>
      </w:pPr>
      <w:r>
        <w:t>patients treated with Tysabri in combination with interferon</w:t>
      </w:r>
    </w:p>
    <w:p w14:paraId="706D806B" w14:textId="77777777" w:rsidR="003057D5" w:rsidRDefault="003057D5" w:rsidP="003057D5">
      <w:pPr>
        <w:spacing w:after="0" w:line="240" w:lineRule="auto"/>
      </w:pPr>
      <w:r>
        <w:t>beta, leading to special warnings in the product information</w:t>
      </w:r>
    </w:p>
    <w:p w14:paraId="33E46B54" w14:textId="77777777" w:rsidR="003057D5" w:rsidRDefault="003057D5" w:rsidP="003057D5">
      <w:pPr>
        <w:spacing w:after="0" w:line="240" w:lineRule="auto"/>
      </w:pPr>
      <w:r>
        <w:t>and extensive risk minimisation measures, including</w:t>
      </w:r>
    </w:p>
    <w:p w14:paraId="5CF64311" w14:textId="77777777" w:rsidR="003057D5" w:rsidRDefault="003057D5" w:rsidP="003057D5">
      <w:pPr>
        <w:spacing w:after="0" w:line="240" w:lineRule="auto"/>
      </w:pPr>
      <w:r>
        <w:t>physician information and management Guidelines.</w:t>
      </w:r>
    </w:p>
    <w:p w14:paraId="6E77BCF0" w14:textId="77777777" w:rsidR="003057D5" w:rsidRDefault="003057D5" w:rsidP="003057D5">
      <w:pPr>
        <w:spacing w:after="0" w:line="240" w:lineRule="auto"/>
      </w:pPr>
      <w:r>
        <w:t xml:space="preserve">In the two new </w:t>
      </w:r>
      <w:proofErr w:type="gramStart"/>
      <w:r>
        <w:t>above mentioned</w:t>
      </w:r>
      <w:proofErr w:type="gramEnd"/>
      <w:r>
        <w:t xml:space="preserve"> cases reported from the</w:t>
      </w:r>
    </w:p>
    <w:p w14:paraId="13543836" w14:textId="24197F33" w:rsidR="00F35D0E" w:rsidRDefault="003057D5" w:rsidP="003057D5">
      <w:pPr>
        <w:spacing w:after="0" w:line="240" w:lineRule="auto"/>
      </w:pPr>
      <w:r>
        <w:t>market, Tysabri was given as monotherapy, and for</w:t>
      </w:r>
    </w:p>
    <w:p w14:paraId="61EC4A88" w14:textId="77777777" w:rsidR="001C7E69" w:rsidRDefault="001C7E69" w:rsidP="001C7E69">
      <w:pPr>
        <w:spacing w:after="0" w:line="240" w:lineRule="auto"/>
      </w:pPr>
      <w:r>
        <w:lastRenderedPageBreak/>
        <w:t>approximately 17 and 14 months. Both patients have</w:t>
      </w:r>
    </w:p>
    <w:p w14:paraId="40F422F1" w14:textId="77777777" w:rsidR="001C7E69" w:rsidRDefault="001C7E69" w:rsidP="001C7E69">
      <w:pPr>
        <w:spacing w:after="0" w:line="240" w:lineRule="auto"/>
      </w:pPr>
      <w:r>
        <w:t>undergone plasma exchange to reduce natalizumab levels.</w:t>
      </w:r>
    </w:p>
    <w:p w14:paraId="70ED41BA" w14:textId="77777777" w:rsidR="001C7E69" w:rsidRDefault="001C7E69" w:rsidP="001C7E69">
      <w:pPr>
        <w:spacing w:after="0" w:line="240" w:lineRule="auto"/>
      </w:pPr>
      <w:r>
        <w:t>The marketing authorisation holder has performed a study</w:t>
      </w:r>
    </w:p>
    <w:p w14:paraId="58FF7607" w14:textId="77777777" w:rsidR="001C7E69" w:rsidRDefault="001C7E69" w:rsidP="001C7E69">
      <w:pPr>
        <w:spacing w:after="0" w:line="240" w:lineRule="auto"/>
      </w:pPr>
      <w:r>
        <w:t>investigating the effect of plasma exchange on Tysabri</w:t>
      </w:r>
    </w:p>
    <w:p w14:paraId="5B5FD550" w14:textId="77777777" w:rsidR="001C7E69" w:rsidRDefault="001C7E69" w:rsidP="001C7E69">
      <w:pPr>
        <w:spacing w:after="0" w:line="240" w:lineRule="auto"/>
      </w:pPr>
      <w:r>
        <w:t>levels which showed that this leads to reduction of</w:t>
      </w:r>
    </w:p>
    <w:p w14:paraId="0687580D" w14:textId="77777777" w:rsidR="001C7E69" w:rsidRDefault="001C7E69" w:rsidP="001C7E69">
      <w:pPr>
        <w:spacing w:after="0" w:line="240" w:lineRule="auto"/>
      </w:pPr>
      <w:r>
        <w:t>natalizumab levels faster than simply discontinuing Tysabri.</w:t>
      </w:r>
    </w:p>
    <w:p w14:paraId="1149931D" w14:textId="77777777" w:rsidR="001C7E69" w:rsidRDefault="001C7E69" w:rsidP="001C7E69">
      <w:pPr>
        <w:spacing w:after="0" w:line="240" w:lineRule="auto"/>
      </w:pPr>
      <w:r>
        <w:t>However, the impact of plasma exchange on the restitution</w:t>
      </w:r>
    </w:p>
    <w:p w14:paraId="4E9D6F57" w14:textId="77777777" w:rsidR="001C7E69" w:rsidRDefault="001C7E69" w:rsidP="001C7E69">
      <w:pPr>
        <w:spacing w:after="0" w:line="240" w:lineRule="auto"/>
      </w:pPr>
      <w:r>
        <w:t>of immune function and ultimately its clinical usefulness is</w:t>
      </w:r>
    </w:p>
    <w:p w14:paraId="08C5321A" w14:textId="77777777" w:rsidR="001C7E69" w:rsidRDefault="001C7E69" w:rsidP="001C7E69">
      <w:pPr>
        <w:spacing w:after="0" w:line="240" w:lineRule="auto"/>
      </w:pPr>
      <w:r>
        <w:t>unknown.</w:t>
      </w:r>
    </w:p>
    <w:p w14:paraId="101FCC97" w14:textId="77777777" w:rsidR="001C7E69" w:rsidRDefault="001C7E69" w:rsidP="001C7E69">
      <w:pPr>
        <w:spacing w:after="0" w:line="240" w:lineRule="auto"/>
      </w:pPr>
      <w:r>
        <w:t>Patients treated with Tysabri must be regularly monitored</w:t>
      </w:r>
    </w:p>
    <w:p w14:paraId="2EF878B9" w14:textId="77777777" w:rsidR="001C7E69" w:rsidRDefault="001C7E69" w:rsidP="001C7E69">
      <w:pPr>
        <w:spacing w:after="0" w:line="240" w:lineRule="auto"/>
      </w:pPr>
      <w:r>
        <w:t>for any clinical signs suggestive of PML. If PML is</w:t>
      </w:r>
    </w:p>
    <w:p w14:paraId="0D3C3012" w14:textId="77777777" w:rsidR="001C7E69" w:rsidRDefault="001C7E69" w:rsidP="001C7E69">
      <w:pPr>
        <w:spacing w:after="0" w:line="240" w:lineRule="auto"/>
      </w:pPr>
      <w:r>
        <w:t>suspected, treatment must be suspended and further</w:t>
      </w:r>
    </w:p>
    <w:p w14:paraId="590CD45D" w14:textId="77777777" w:rsidR="001C7E69" w:rsidRDefault="001C7E69" w:rsidP="001C7E69">
      <w:pPr>
        <w:spacing w:after="0" w:line="240" w:lineRule="auto"/>
      </w:pPr>
      <w:r>
        <w:t>evaluations carried out as described in the physician</w:t>
      </w:r>
    </w:p>
    <w:p w14:paraId="5C3BEBF8" w14:textId="77777777" w:rsidR="001C7E69" w:rsidRDefault="001C7E69" w:rsidP="001C7E69">
      <w:pPr>
        <w:spacing w:after="0" w:line="240" w:lineRule="auto"/>
      </w:pPr>
      <w:r>
        <w:t>information and management guidelines. Administration of</w:t>
      </w:r>
    </w:p>
    <w:p w14:paraId="01D8706D" w14:textId="77777777" w:rsidR="001C7E69" w:rsidRDefault="001C7E69" w:rsidP="001C7E69">
      <w:pPr>
        <w:spacing w:after="0" w:line="240" w:lineRule="auto"/>
      </w:pPr>
      <w:r>
        <w:t>Tysabri may resume only once the clinician has excluded</w:t>
      </w:r>
    </w:p>
    <w:p w14:paraId="675DA537" w14:textId="77777777" w:rsidR="001C7E69" w:rsidRDefault="001C7E69" w:rsidP="001C7E69">
      <w:pPr>
        <w:spacing w:after="0" w:line="240" w:lineRule="auto"/>
      </w:pPr>
      <w:r>
        <w:t xml:space="preserve">PML, if </w:t>
      </w:r>
      <w:proofErr w:type="gramStart"/>
      <w:r>
        <w:t>necessary</w:t>
      </w:r>
      <w:proofErr w:type="gramEnd"/>
      <w:r>
        <w:t xml:space="preserve"> by repeating clinical, imaging and/or</w:t>
      </w:r>
    </w:p>
    <w:p w14:paraId="0E9821DA" w14:textId="77777777" w:rsidR="001C7E69" w:rsidRDefault="001C7E69" w:rsidP="001C7E69">
      <w:pPr>
        <w:spacing w:after="0" w:line="240" w:lineRule="auto"/>
      </w:pPr>
      <w:r>
        <w:t>laboratory investigations if clinical suspicion remains. The</w:t>
      </w:r>
    </w:p>
    <w:p w14:paraId="7D575DC4" w14:textId="77777777" w:rsidR="001C7E69" w:rsidRDefault="001C7E69" w:rsidP="001C7E69">
      <w:pPr>
        <w:spacing w:after="0" w:line="240" w:lineRule="auto"/>
      </w:pPr>
      <w:r>
        <w:t>benefit/risk profile of Tysabri remains positive in the</w:t>
      </w:r>
    </w:p>
    <w:p w14:paraId="1C2CBC3C" w14:textId="2AFDF1AE" w:rsidR="001C7E69" w:rsidRDefault="001C7E69" w:rsidP="001C7E69">
      <w:pPr>
        <w:spacing w:after="0" w:line="240" w:lineRule="auto"/>
      </w:pPr>
      <w:r>
        <w:t>authorised indication.</w:t>
      </w:r>
    </w:p>
    <w:p w14:paraId="17B96F1C" w14:textId="2E0858B6" w:rsidR="001C7E69" w:rsidRDefault="001C7E69" w:rsidP="001C7E69">
      <w:pPr>
        <w:spacing w:after="0" w:line="240" w:lineRule="auto"/>
      </w:pPr>
      <w:r>
        <w:t>--</w:t>
      </w:r>
    </w:p>
    <w:p w14:paraId="3EAF7CE2" w14:textId="77777777" w:rsidR="001C7E69" w:rsidRDefault="001C7E69" w:rsidP="001C7E69">
      <w:pPr>
        <w:spacing w:after="0" w:line="240" w:lineRule="auto"/>
      </w:pPr>
      <w:r w:rsidRPr="001C7E69">
        <w:t>20/06/2008</w:t>
      </w:r>
      <w:r>
        <w:t>: A number of serious suspected hepatic reactions, including</w:t>
      </w:r>
    </w:p>
    <w:p w14:paraId="6D56CD87" w14:textId="77777777" w:rsidR="001C7E69" w:rsidRDefault="001C7E69" w:rsidP="001C7E69">
      <w:pPr>
        <w:spacing w:after="0" w:line="240" w:lineRule="auto"/>
      </w:pPr>
      <w:r>
        <w:t xml:space="preserve">increased liver enzymes and </w:t>
      </w:r>
      <w:proofErr w:type="spellStart"/>
      <w:r>
        <w:t>hyperbilirubinaemia</w:t>
      </w:r>
      <w:proofErr w:type="spellEnd"/>
      <w:r>
        <w:t>, were</w:t>
      </w:r>
    </w:p>
    <w:p w14:paraId="3617B5AB" w14:textId="77777777" w:rsidR="001C7E69" w:rsidRDefault="001C7E69" w:rsidP="001C7E69">
      <w:pPr>
        <w:spacing w:after="0" w:line="240" w:lineRule="auto"/>
      </w:pPr>
      <w:r>
        <w:t>reported in patients receiving Tysabri since the medicine</w:t>
      </w:r>
    </w:p>
    <w:p w14:paraId="46A14440" w14:textId="77777777" w:rsidR="001C7E69" w:rsidRDefault="001C7E69" w:rsidP="001C7E69">
      <w:pPr>
        <w:spacing w:after="0" w:line="240" w:lineRule="auto"/>
      </w:pPr>
      <w:r>
        <w:t>was put on the market in November 2004. All cases but</w:t>
      </w:r>
    </w:p>
    <w:p w14:paraId="33C43101" w14:textId="77777777" w:rsidR="001C7E69" w:rsidRDefault="001C7E69" w:rsidP="001C7E69">
      <w:pPr>
        <w:spacing w:after="0" w:line="240" w:lineRule="auto"/>
      </w:pPr>
      <w:r>
        <w:t xml:space="preserve">one </w:t>
      </w:r>
      <w:proofErr w:type="gramStart"/>
      <w:r>
        <w:t>were</w:t>
      </w:r>
      <w:proofErr w:type="gramEnd"/>
      <w:r>
        <w:t xml:space="preserve"> reported from post marketing surveillance and</w:t>
      </w:r>
    </w:p>
    <w:p w14:paraId="0898C078" w14:textId="77777777" w:rsidR="001C7E69" w:rsidRDefault="001C7E69" w:rsidP="001C7E69">
      <w:pPr>
        <w:spacing w:after="0" w:line="240" w:lineRule="auto"/>
      </w:pPr>
      <w:r>
        <w:t>occurred as early as six days after the first dose of Tysabri.</w:t>
      </w:r>
    </w:p>
    <w:p w14:paraId="671C6B8C" w14:textId="77777777" w:rsidR="001C7E69" w:rsidRDefault="001C7E69" w:rsidP="001C7E69">
      <w:pPr>
        <w:spacing w:after="0" w:line="240" w:lineRule="auto"/>
      </w:pPr>
      <w:r>
        <w:t>All cases had at least one confounding risk factor but two</w:t>
      </w:r>
    </w:p>
    <w:p w14:paraId="4856BD4A" w14:textId="77777777" w:rsidR="001C7E69" w:rsidRDefault="001C7E69" w:rsidP="001C7E69">
      <w:pPr>
        <w:spacing w:after="0" w:line="240" w:lineRule="auto"/>
      </w:pPr>
      <w:r>
        <w:t>cases were assessed as likely to be related to Tysabri. In</w:t>
      </w:r>
    </w:p>
    <w:p w14:paraId="42A89B25" w14:textId="77777777" w:rsidR="001C7E69" w:rsidRDefault="001C7E69" w:rsidP="001C7E69">
      <w:pPr>
        <w:spacing w:after="0" w:line="240" w:lineRule="auto"/>
      </w:pPr>
      <w:r>
        <w:t>these two cases, liver problems improved when Tysabri was</w:t>
      </w:r>
    </w:p>
    <w:p w14:paraId="1140005B" w14:textId="16DD5DFE" w:rsidR="001C7E69" w:rsidRDefault="001C7E69" w:rsidP="001C7E69">
      <w:pPr>
        <w:spacing w:after="0" w:line="240" w:lineRule="auto"/>
      </w:pPr>
      <w:r>
        <w:t xml:space="preserve">stopped, but reappeared after </w:t>
      </w:r>
      <w:proofErr w:type="spellStart"/>
      <w:r>
        <w:t>readministration</w:t>
      </w:r>
      <w:proofErr w:type="spellEnd"/>
      <w:r>
        <w:t>.</w:t>
      </w:r>
    </w:p>
    <w:p w14:paraId="456B89E7" w14:textId="3C2913A5" w:rsidR="001C7E69" w:rsidRDefault="001C7E69" w:rsidP="001C7E69">
      <w:pPr>
        <w:spacing w:after="0" w:line="240" w:lineRule="auto"/>
      </w:pPr>
      <w:r>
        <w:t>--</w:t>
      </w:r>
    </w:p>
    <w:p w14:paraId="0EE37F6E" w14:textId="489C544F" w:rsidR="001C7E69" w:rsidRDefault="001C7E69" w:rsidP="001C7E69">
      <w:pPr>
        <w:spacing w:after="0" w:line="240" w:lineRule="auto"/>
      </w:pPr>
    </w:p>
    <w:p w14:paraId="3C001D9A" w14:textId="77777777" w:rsidR="001C7E69" w:rsidRDefault="001C7E69" w:rsidP="001C7E69">
      <w:pPr>
        <w:spacing w:after="0" w:line="240" w:lineRule="auto"/>
      </w:pPr>
      <w:r w:rsidRPr="001C7E69">
        <w:t>25/04/2008</w:t>
      </w:r>
      <w:r>
        <w:t>: The MAH reviewed the data (spontaneous reports and</w:t>
      </w:r>
    </w:p>
    <w:p w14:paraId="6B7C63C0" w14:textId="77777777" w:rsidR="001C7E69" w:rsidRDefault="001C7E69" w:rsidP="001C7E69">
      <w:pPr>
        <w:spacing w:after="0" w:line="240" w:lineRule="auto"/>
      </w:pPr>
      <w:r>
        <w:t>clinical trials) made available during the post-marketing</w:t>
      </w:r>
    </w:p>
    <w:p w14:paraId="1E0BAF8B" w14:textId="77777777" w:rsidR="001C7E69" w:rsidRDefault="001C7E69" w:rsidP="001C7E69">
      <w:pPr>
        <w:spacing w:after="0" w:line="240" w:lineRule="auto"/>
      </w:pPr>
      <w:r>
        <w:t>phase on allergic reactions occurring in patients treated</w:t>
      </w:r>
    </w:p>
    <w:p w14:paraId="415A2576" w14:textId="77777777" w:rsidR="001C7E69" w:rsidRDefault="001C7E69" w:rsidP="001C7E69">
      <w:pPr>
        <w:spacing w:after="0" w:line="240" w:lineRule="auto"/>
      </w:pPr>
      <w:r>
        <w:t>with Tysabri. Based on this review, it is concluded that the</w:t>
      </w:r>
    </w:p>
    <w:p w14:paraId="3A5C0206" w14:textId="77777777" w:rsidR="001C7E69" w:rsidRDefault="001C7E69" w:rsidP="001C7E69">
      <w:pPr>
        <w:spacing w:after="0" w:line="240" w:lineRule="auto"/>
      </w:pPr>
      <w:r>
        <w:t>risk for allergy is greatest with early infusions and in</w:t>
      </w:r>
    </w:p>
    <w:p w14:paraId="305B4121" w14:textId="0F544AA5" w:rsidR="001C7E69" w:rsidRDefault="001C7E69" w:rsidP="001C7E69">
      <w:pPr>
        <w:spacing w:after="0" w:line="240" w:lineRule="auto"/>
      </w:pPr>
      <w:r>
        <w:t>patients re-exposed to TYSABRI following an initial short</w:t>
      </w:r>
    </w:p>
    <w:p w14:paraId="2A6DE25D" w14:textId="77777777" w:rsidR="001C7E69" w:rsidRDefault="001C7E69" w:rsidP="001C7E69">
      <w:pPr>
        <w:spacing w:after="0" w:line="240" w:lineRule="auto"/>
      </w:pPr>
      <w:r>
        <w:t>exposure (one or two infusions) and extended period (three</w:t>
      </w:r>
    </w:p>
    <w:p w14:paraId="5491D370" w14:textId="77777777" w:rsidR="001C7E69" w:rsidRDefault="001C7E69" w:rsidP="001C7E69">
      <w:pPr>
        <w:spacing w:after="0" w:line="240" w:lineRule="auto"/>
      </w:pPr>
      <w:r>
        <w:t>months or more) without treatment. Since patients who</w:t>
      </w:r>
    </w:p>
    <w:p w14:paraId="79695EBA" w14:textId="77777777" w:rsidR="001C7E69" w:rsidRDefault="001C7E69" w:rsidP="001C7E69">
      <w:pPr>
        <w:spacing w:after="0" w:line="240" w:lineRule="auto"/>
      </w:pPr>
      <w:r>
        <w:t>have received an initial short exposure to TYSABRI and</w:t>
      </w:r>
    </w:p>
    <w:p w14:paraId="5A640D1D" w14:textId="77777777" w:rsidR="001C7E69" w:rsidRDefault="001C7E69" w:rsidP="001C7E69">
      <w:pPr>
        <w:spacing w:after="0" w:line="240" w:lineRule="auto"/>
      </w:pPr>
      <w:r>
        <w:t>then had an extended period without treatment are more at</w:t>
      </w:r>
    </w:p>
    <w:p w14:paraId="4B580201" w14:textId="77777777" w:rsidR="001C7E69" w:rsidRDefault="001C7E69" w:rsidP="001C7E69">
      <w:pPr>
        <w:spacing w:after="0" w:line="240" w:lineRule="auto"/>
      </w:pPr>
      <w:r>
        <w:t>risk for allergy upon re-dosing, continuous dosing with</w:t>
      </w:r>
    </w:p>
    <w:p w14:paraId="0A51AC7E" w14:textId="77777777" w:rsidR="001C7E69" w:rsidRDefault="001C7E69" w:rsidP="001C7E69">
      <w:pPr>
        <w:spacing w:after="0" w:line="240" w:lineRule="auto"/>
      </w:pPr>
      <w:r>
        <w:t>TYSABRI is important, especially during the first few</w:t>
      </w:r>
    </w:p>
    <w:p w14:paraId="7A53263A" w14:textId="77777777" w:rsidR="001C7E69" w:rsidRDefault="001C7E69" w:rsidP="001C7E69">
      <w:pPr>
        <w:spacing w:after="0" w:line="240" w:lineRule="auto"/>
      </w:pPr>
      <w:r>
        <w:t>months of treatment.</w:t>
      </w:r>
    </w:p>
    <w:p w14:paraId="62EE71B5" w14:textId="77777777" w:rsidR="001C7E69" w:rsidRDefault="001C7E69" w:rsidP="001C7E69">
      <w:pPr>
        <w:spacing w:after="0" w:line="240" w:lineRule="auto"/>
      </w:pPr>
      <w:r>
        <w:t>The MAH also reviewed the data (spontaneous reports and</w:t>
      </w:r>
    </w:p>
    <w:p w14:paraId="708D29A8" w14:textId="77777777" w:rsidR="001C7E69" w:rsidRDefault="001C7E69" w:rsidP="001C7E69">
      <w:pPr>
        <w:spacing w:after="0" w:line="240" w:lineRule="auto"/>
      </w:pPr>
      <w:r>
        <w:t>clinical trials) made available during the post-marketing</w:t>
      </w:r>
    </w:p>
    <w:p w14:paraId="72840A5D" w14:textId="77777777" w:rsidR="001C7E69" w:rsidRDefault="001C7E69" w:rsidP="001C7E69">
      <w:pPr>
        <w:spacing w:after="0" w:line="240" w:lineRule="auto"/>
      </w:pPr>
      <w:r>
        <w:t>phase on herpes infections. Based on this review, it is</w:t>
      </w:r>
    </w:p>
    <w:p w14:paraId="4E8E8732" w14:textId="77777777" w:rsidR="001C7E69" w:rsidRDefault="001C7E69" w:rsidP="001C7E69">
      <w:pPr>
        <w:spacing w:after="0" w:line="240" w:lineRule="auto"/>
      </w:pPr>
      <w:r>
        <w:t>concluded that in clinical trials, herpes infections (Varicella-</w:t>
      </w:r>
    </w:p>
    <w:p w14:paraId="4CE57B48" w14:textId="77777777" w:rsidR="001C7E69" w:rsidRDefault="001C7E69" w:rsidP="001C7E69">
      <w:pPr>
        <w:spacing w:after="0" w:line="240" w:lineRule="auto"/>
      </w:pPr>
      <w:r>
        <w:t>Zoster virus, Herpes simplex virus) occurred slightly more</w:t>
      </w:r>
    </w:p>
    <w:p w14:paraId="1AB74523" w14:textId="77777777" w:rsidR="001C7E69" w:rsidRDefault="001C7E69" w:rsidP="001C7E69">
      <w:pPr>
        <w:spacing w:after="0" w:line="240" w:lineRule="auto"/>
      </w:pPr>
      <w:r>
        <w:t>frequently in patients treated with Tysabri than in patients</w:t>
      </w:r>
    </w:p>
    <w:p w14:paraId="2FC0606D" w14:textId="5E697451" w:rsidR="001C7E69" w:rsidRDefault="001C7E69" w:rsidP="001C7E69">
      <w:pPr>
        <w:spacing w:after="0" w:line="240" w:lineRule="auto"/>
      </w:pPr>
      <w:r>
        <w:lastRenderedPageBreak/>
        <w:t>receiving placebo.</w:t>
      </w:r>
    </w:p>
    <w:p w14:paraId="0EA01D12" w14:textId="1BA57693" w:rsidR="001C7E69" w:rsidRDefault="001C7E69" w:rsidP="001C7E69">
      <w:pPr>
        <w:spacing w:after="0" w:line="240" w:lineRule="auto"/>
      </w:pPr>
      <w:r>
        <w:t>--</w:t>
      </w:r>
    </w:p>
    <w:p w14:paraId="35C2B68D" w14:textId="77777777" w:rsidR="001C7E69" w:rsidRDefault="001C7E69" w:rsidP="001C7E69">
      <w:pPr>
        <w:spacing w:after="0" w:line="240" w:lineRule="auto"/>
      </w:pPr>
    </w:p>
    <w:p w14:paraId="535B5FCF" w14:textId="73775CB7" w:rsidR="00210B6F" w:rsidRDefault="00210B6F" w:rsidP="00210B6F">
      <w:pPr>
        <w:spacing w:after="0"/>
      </w:pPr>
    </w:p>
    <w:p w14:paraId="452CD47D" w14:textId="32A0C1A6" w:rsidR="00210B6F" w:rsidRDefault="00B05BEC" w:rsidP="00210B6F">
      <w:pPr>
        <w:spacing w:after="0"/>
      </w:pPr>
      <w:r>
        <w:t>--</w:t>
      </w:r>
    </w:p>
    <w:p w14:paraId="6D81143F" w14:textId="70985849" w:rsidR="00A0185B" w:rsidRDefault="007B3B4E" w:rsidP="00A0185B">
      <w:hyperlink r:id="rId30" w:history="1">
        <w:r w:rsidR="00FE76B3" w:rsidRPr="002731D6">
          <w:rPr>
            <w:rStyle w:val="Hyperlink"/>
          </w:rPr>
          <w:t>https://www.ema.europa.eu/en/medicines/human/referrals/tysabri</w:t>
        </w:r>
      </w:hyperlink>
      <w:r w:rsidR="00B441AF">
        <w:t xml:space="preserve"> </w:t>
      </w:r>
    </w:p>
    <w:p w14:paraId="200C87A2" w14:textId="5BFB2A80" w:rsidR="00142D05" w:rsidRDefault="00B05BEC" w:rsidP="00142D05">
      <w:r>
        <w:t>“</w:t>
      </w:r>
      <w:r w:rsidR="00142D05">
        <w:t>EMA confirms recommendations to minimise risk of brain infection PML with Tysabri</w:t>
      </w:r>
    </w:p>
    <w:p w14:paraId="1AB19053" w14:textId="6198AD2A" w:rsidR="00142D05" w:rsidRDefault="00142D05" w:rsidP="00142D05">
      <w:r>
        <w:t>More frequent MRI scans should be considered for patients at higher risk</w:t>
      </w:r>
    </w:p>
    <w:p w14:paraId="2B71F651" w14:textId="393809C9" w:rsidR="00142D05" w:rsidRDefault="00142D05" w:rsidP="00142D05">
      <w:r>
        <w:t>On 25 February 2016, EMA completed its review of the known risk of progressive multifocal leukoencephalopathy (PML) with the multiple sclerosis medicine Tysabri (natalizumab), and confirmed initial recommendations1 aimed at minimising this risk.</w:t>
      </w:r>
    </w:p>
    <w:p w14:paraId="6FA92A34" w14:textId="35DC4294" w:rsidR="00142D05" w:rsidRDefault="00142D05" w:rsidP="00142D05">
      <w:r>
        <w:t>PML is a rare brain infection caused by John Cunningham (JC) virus. This virus is very common in the general population and is normally harmless; however, it can lead to PML in persons whose immune system is weakened. The most common symptoms of PML are progressive weakness, speech and communication difficulties, vision changes, and sometimes changes in mood or behaviour. PML is a very serious condition that may result in severe disability or death.</w:t>
      </w:r>
    </w:p>
    <w:p w14:paraId="6B5AFD12" w14:textId="5DF30A72" w:rsidR="00142D05" w:rsidRDefault="00142D05" w:rsidP="00142D05">
      <w:r>
        <w:t>Recent studies suggest that early detection and treatment of PML when the disease is asymptomatic (is still in the initial stages and shows no symptoms) may improve patients' outcomes. Asymptomatic cases of PML can be detected on MRI scans, and experts in the field of MRI and multiple sclerosis agree that simplified MRI protocols (which allow for shorter procedures, and also limit the burden for patients undergoing the scans) permit the identification of PML lesions. All patients taking Tysabri should undergo full MRI scans at least once a year, but on the basis of the new data EMA recommended that for patients at higher risk of PML more frequent MRI scans (</w:t>
      </w:r>
      <w:proofErr w:type="gramStart"/>
      <w:r>
        <w:t>e.g.</w:t>
      </w:r>
      <w:proofErr w:type="gramEnd"/>
      <w:r>
        <w:t xml:space="preserve"> every 3 to 6 months) performed using simplified protocols should be considered. If lesions suggestive of PML are discovered, the MRI protocol should be extended to include 'contrast-enhanced T1-weighted MRI', and testing the spinal fluid for the presence of JC virus should be considered.</w:t>
      </w:r>
    </w:p>
    <w:p w14:paraId="7B499ECF" w14:textId="18D6D469" w:rsidR="00142D05" w:rsidRDefault="00142D05" w:rsidP="00142D05">
      <w:r>
        <w:t>New data from large clinical studies also suggest that, in patients who have not been treated with immunosuppressants (medicines that reduce the activity of the immune system) before starting Tysabri, the blood level of antibodies against JC virus ('antibody index') relates to the level of risk for PML. In light of the new evidence, patients are considered at higher risk of developing PML if they:</w:t>
      </w:r>
    </w:p>
    <w:p w14:paraId="525E646F" w14:textId="1A85DB31" w:rsidR="00142D05" w:rsidRDefault="00142D05" w:rsidP="00142D05">
      <w:pPr>
        <w:pStyle w:val="ListParagraph"/>
        <w:numPr>
          <w:ilvl w:val="0"/>
          <w:numId w:val="1"/>
        </w:numPr>
      </w:pPr>
      <w:r>
        <w:t>have tested positive for JC virus, and</w:t>
      </w:r>
    </w:p>
    <w:p w14:paraId="0A3FCC45" w14:textId="1DB695AC" w:rsidR="00142D05" w:rsidRDefault="00142D05" w:rsidP="00142D05">
      <w:pPr>
        <w:pStyle w:val="ListParagraph"/>
        <w:numPr>
          <w:ilvl w:val="0"/>
          <w:numId w:val="1"/>
        </w:numPr>
      </w:pPr>
      <w:r>
        <w:t>have been treated with Tysabri for more than 2 years, and</w:t>
      </w:r>
    </w:p>
    <w:p w14:paraId="39A67D89" w14:textId="4D355480" w:rsidR="00142D05" w:rsidRDefault="00142D05" w:rsidP="00142D05">
      <w:pPr>
        <w:pStyle w:val="ListParagraph"/>
        <w:numPr>
          <w:ilvl w:val="0"/>
          <w:numId w:val="1"/>
        </w:numPr>
      </w:pPr>
      <w:r>
        <w:t>either have used an immunosuppressant before starting Tysabri, or have not used immunosuppressants and have a high JC virus antibody index.</w:t>
      </w:r>
    </w:p>
    <w:p w14:paraId="5CC267CC" w14:textId="3588608A" w:rsidR="00142D05" w:rsidRDefault="00142D05" w:rsidP="00142D05">
      <w:r>
        <w:t>In these patients, treatment with Tysabri should only be continued if benefits outweigh the risks.</w:t>
      </w:r>
    </w:p>
    <w:p w14:paraId="22CB7451" w14:textId="398B715A" w:rsidR="00142D05" w:rsidRDefault="00142D05" w:rsidP="00142D05">
      <w:r>
        <w:t>If PML is suspected at any time, treatment with Tysabri must be stopped until PML has been excluded.</w:t>
      </w:r>
    </w:p>
    <w:p w14:paraId="14596E62" w14:textId="6986DBE3" w:rsidR="00B441AF" w:rsidRDefault="00142D05" w:rsidP="00142D05">
      <w:r>
        <w:t>EMA's recommendations are based on an initial review by its Pharmacovigilance Risk Assessment Committee (PRAC). The PRAC recommendations were sent to the Committee for Medicinal Products for Human Use (CHMP), which confirmed them and adopted its final opinion. The CHMP's opinion was then sent to the European Commission, which issued a legally-binding decision valid throughout the EU.</w:t>
      </w:r>
      <w:r w:rsidR="00B05BEC">
        <w:t>”</w:t>
      </w:r>
    </w:p>
    <w:p w14:paraId="75AE93AA" w14:textId="3FEA75AF" w:rsidR="004D3C62" w:rsidRDefault="004D3C62" w:rsidP="00142D05">
      <w:r>
        <w:lastRenderedPageBreak/>
        <w:t>--</w:t>
      </w:r>
    </w:p>
    <w:p w14:paraId="20B17E16" w14:textId="365331C4" w:rsidR="004D3C62" w:rsidRDefault="007B3B4E" w:rsidP="00142D05">
      <w:hyperlink r:id="rId31" w:history="1">
        <w:r w:rsidR="004D3C62" w:rsidRPr="002731D6">
          <w:rPr>
            <w:rStyle w:val="Hyperlink"/>
          </w:rPr>
          <w:t>https://www.ema.europa.eu/en/documents/variation-report/tysabri-h-c-603-a20-0029-epar-assessment-report-article-20_en.pdf</w:t>
        </w:r>
      </w:hyperlink>
      <w:r w:rsidR="004D3C62">
        <w:t xml:space="preserve"> </w:t>
      </w:r>
    </w:p>
    <w:p w14:paraId="77EC467C" w14:textId="111E8E50" w:rsidR="004D3C62" w:rsidRDefault="004D3C62" w:rsidP="00142D05">
      <w:r>
        <w:t>--</w:t>
      </w:r>
    </w:p>
    <w:p w14:paraId="5C465F1D" w14:textId="6962ED78" w:rsidR="006653CC" w:rsidRDefault="007B3B4E" w:rsidP="00142D05">
      <w:hyperlink r:id="rId32" w:history="1">
        <w:r w:rsidR="006653CC" w:rsidRPr="002731D6">
          <w:rPr>
            <w:rStyle w:val="Hyperlink"/>
          </w:rPr>
          <w:t>https://www.ema.europa.eu/en/documents/scientific-conclusion/tysabri-h-c-603-psuv-0062-epar-scientific-conclusions-grounds-recommending-variation-terms-marketing_en.pdf</w:t>
        </w:r>
      </w:hyperlink>
      <w:r w:rsidR="006653CC">
        <w:t xml:space="preserve"> </w:t>
      </w:r>
    </w:p>
    <w:p w14:paraId="133D1566" w14:textId="3D248535" w:rsidR="006653CC" w:rsidRDefault="006653CC" w:rsidP="00142D05">
      <w:r>
        <w:t>--</w:t>
      </w:r>
    </w:p>
    <w:p w14:paraId="3D171832" w14:textId="69854A36" w:rsidR="006653CC" w:rsidRDefault="007B3B4E" w:rsidP="00142D05">
      <w:hyperlink r:id="rId33" w:history="1">
        <w:r w:rsidR="006653CC" w:rsidRPr="002731D6">
          <w:rPr>
            <w:rStyle w:val="Hyperlink"/>
          </w:rPr>
          <w:t>https://www.ema.europa.eu/en/documents/variation-report/tysabri-h-c-603-a20-1416-epar-assessment-report-article-20_en.pdf</w:t>
        </w:r>
      </w:hyperlink>
      <w:r w:rsidR="006653CC">
        <w:t xml:space="preserve"> </w:t>
      </w:r>
    </w:p>
    <w:p w14:paraId="49B93961" w14:textId="75783019" w:rsidR="006653CC" w:rsidRDefault="006653CC" w:rsidP="00142D05">
      <w:r>
        <w:t>--</w:t>
      </w:r>
    </w:p>
    <w:p w14:paraId="1EDA1E21" w14:textId="35FD0AC5" w:rsidR="006653CC" w:rsidRDefault="007B3B4E" w:rsidP="00142D05">
      <w:hyperlink r:id="rId34" w:history="1">
        <w:r w:rsidR="006653CC" w:rsidRPr="002731D6">
          <w:rPr>
            <w:rStyle w:val="Hyperlink"/>
          </w:rPr>
          <w:t>https://www.ema.europa.eu/en/documents/scientific-conclusion/tysabri-epar-scientific-conclusion_en.pdf</w:t>
        </w:r>
      </w:hyperlink>
      <w:r w:rsidR="006653CC">
        <w:t xml:space="preserve"> </w:t>
      </w:r>
    </w:p>
    <w:p w14:paraId="4793023B" w14:textId="4224F4DD" w:rsidR="000148F2" w:rsidRDefault="000148F2" w:rsidP="00142D05">
      <w:r>
        <w:t>--</w:t>
      </w:r>
    </w:p>
    <w:p w14:paraId="1ED28DAA" w14:textId="6D26FB0F" w:rsidR="000148F2" w:rsidRDefault="007B3B4E" w:rsidP="00142D05">
      <w:hyperlink r:id="rId35" w:history="1">
        <w:r w:rsidR="000148F2" w:rsidRPr="002731D6">
          <w:rPr>
            <w:rStyle w:val="Hyperlink"/>
          </w:rPr>
          <w:t>https://www.ema.europa.eu/en/documents/scientific-conclusion/tysabri-h-c-psusa-00002127-201908-epar-scientific-conclusions-grounds-variation-terms-marketing_en.pdf</w:t>
        </w:r>
      </w:hyperlink>
      <w:r w:rsidR="000148F2">
        <w:t xml:space="preserve"> </w:t>
      </w:r>
    </w:p>
    <w:p w14:paraId="0B7A558E" w14:textId="6F30D9A9" w:rsidR="000148F2" w:rsidRDefault="000148F2" w:rsidP="00142D05"/>
    <w:p w14:paraId="401B27A0" w14:textId="22344FE3" w:rsidR="000148F2" w:rsidRDefault="000148F2" w:rsidP="00142D05">
      <w:r>
        <w:t>--</w:t>
      </w:r>
    </w:p>
    <w:p w14:paraId="4BE972F5" w14:textId="73BB72D9" w:rsidR="000148F2" w:rsidRDefault="007B3B4E" w:rsidP="00142D05">
      <w:hyperlink r:id="rId36" w:history="1">
        <w:r w:rsidR="000148F2" w:rsidRPr="002731D6">
          <w:rPr>
            <w:rStyle w:val="Hyperlink"/>
          </w:rPr>
          <w:t>https://www.ema.europa.eu/en/documents/scientific-conclusion/tysabri-h-c-psusa-00002127-202008-epar-scientific-conclusions-grounds-variation-terms-marketing_en.pdf</w:t>
        </w:r>
      </w:hyperlink>
      <w:r w:rsidR="000148F2">
        <w:t xml:space="preserve"> </w:t>
      </w:r>
    </w:p>
    <w:p w14:paraId="2325E337" w14:textId="3E348667" w:rsidR="000148F2" w:rsidRDefault="000148F2" w:rsidP="000148F2">
      <w:pPr>
        <w:spacing w:after="0"/>
      </w:pPr>
      <w:r>
        <w:t>“Taking into account the PRAC Assessment Report on the PSUR(s) for natalizumab, the scientific</w:t>
      </w:r>
    </w:p>
    <w:p w14:paraId="7931E358" w14:textId="16EA9EFE" w:rsidR="000148F2" w:rsidRDefault="000148F2" w:rsidP="000148F2">
      <w:pPr>
        <w:spacing w:after="0"/>
      </w:pPr>
      <w:r>
        <w:t>conclusions of CHMP are as follows: In view of available data on thrombocytopenia (TCP) and immune (or idiopathic) thrombocytopenic purpura (ITP) from clinical and nonclinical studies, literature sources, post-marketing reports and third-party safety databases, the PRAC considers a causal relationship between natalizumab and thrombocytopenia (TCP) and immune (or idiopathic) thrombocytopenic purpura (ITP) is at least a reasonable possibility. The PRAC concluded that the product information of products containing natalizumab should be amended accordingly.”</w:t>
      </w:r>
    </w:p>
    <w:p w14:paraId="2D5438F2" w14:textId="77777777" w:rsidR="000148F2" w:rsidRDefault="000148F2" w:rsidP="00142D05"/>
    <w:p w14:paraId="0BF29699" w14:textId="6CD4DEAE" w:rsidR="00A0185B" w:rsidRDefault="00A0185B" w:rsidP="000148F2">
      <w:pPr>
        <w:pStyle w:val="Heading2"/>
        <w:rPr>
          <w:i/>
          <w:iCs/>
        </w:rPr>
      </w:pPr>
      <w:bookmarkStart w:id="8" w:name="_Toc104798912"/>
      <w:r w:rsidRPr="00B441AF">
        <w:t>Ocrelizumab</w:t>
      </w:r>
      <w:r w:rsidR="007A4B1C">
        <w:t xml:space="preserve">: </w:t>
      </w:r>
      <w:r w:rsidR="007A4B1C">
        <w:rPr>
          <w:i/>
          <w:iCs/>
        </w:rPr>
        <w:t>Ocrevus</w:t>
      </w:r>
      <w:bookmarkEnd w:id="8"/>
    </w:p>
    <w:p w14:paraId="3D6FBA8A" w14:textId="79FD63DE" w:rsidR="007A4B1C" w:rsidRDefault="007A4B1C" w:rsidP="00A0185B">
      <w:r>
        <w:t xml:space="preserve">Since authorisation: </w:t>
      </w:r>
      <w:hyperlink r:id="rId37" w:history="1">
        <w:r w:rsidRPr="002731D6">
          <w:rPr>
            <w:rStyle w:val="Hyperlink"/>
          </w:rPr>
          <w:t>https://www.ema.europa.eu/en/documents/procedural-steps-after/ocrevus-epar-procedural-steps-taken-scientific-information-after-authorisation_en.pdf</w:t>
        </w:r>
      </w:hyperlink>
      <w:r>
        <w:t xml:space="preserve"> </w:t>
      </w:r>
    </w:p>
    <w:p w14:paraId="08ED4286" w14:textId="345E7D46" w:rsidR="00491ED5" w:rsidRDefault="00491ED5" w:rsidP="00A0185B">
      <w:r>
        <w:t xml:space="preserve">There are a number of changes, please refer to link above. </w:t>
      </w:r>
    </w:p>
    <w:p w14:paraId="27F8B52E" w14:textId="10FE0DBE" w:rsidR="00B05BEC" w:rsidRDefault="00B05BEC" w:rsidP="00A0185B">
      <w:r>
        <w:t>Of note:</w:t>
      </w:r>
    </w:p>
    <w:p w14:paraId="0341C185" w14:textId="7EED7433" w:rsidR="00491ED5" w:rsidRDefault="00491ED5" w:rsidP="00491ED5">
      <w:pPr>
        <w:spacing w:after="0"/>
      </w:pPr>
      <w:r w:rsidRPr="00491ED5">
        <w:t>03/12/20</w:t>
      </w:r>
      <w:r w:rsidR="006C79F5">
        <w:t>:</w:t>
      </w:r>
      <w:r w:rsidRPr="00491ED5">
        <w:t xml:space="preserve"> </w:t>
      </w:r>
      <w:r>
        <w:t>The warning in section 4.4 of the SmPC on Progressive Multifocal Leukoencephalopathy (PML) is updated to include lymphopenia and advanced age as new risk factors for PML present in the ocrelizumab-treated patient who developed PML without prior disease-modifying therapy use. For more information, please refer to the Summary of Product Characteristics.</w:t>
      </w:r>
    </w:p>
    <w:p w14:paraId="23B5CF69" w14:textId="10E2C71D" w:rsidR="0052791B" w:rsidRDefault="0052791B" w:rsidP="00491ED5">
      <w:pPr>
        <w:spacing w:after="0"/>
      </w:pPr>
    </w:p>
    <w:p w14:paraId="66FD6073" w14:textId="4022C035" w:rsidR="0052791B" w:rsidRDefault="0052791B" w:rsidP="00491ED5">
      <w:pPr>
        <w:spacing w:after="0"/>
      </w:pPr>
      <w:r>
        <w:t>--</w:t>
      </w:r>
    </w:p>
    <w:p w14:paraId="10348DCB" w14:textId="524720D9" w:rsidR="0052791B" w:rsidRDefault="007B3B4E" w:rsidP="00491ED5">
      <w:pPr>
        <w:spacing w:after="0"/>
      </w:pPr>
      <w:hyperlink r:id="rId38" w:history="1">
        <w:r w:rsidR="0052791B" w:rsidRPr="002731D6">
          <w:rPr>
            <w:rStyle w:val="Hyperlink"/>
          </w:rPr>
          <w:t>https://www.ema.europa.eu/en/documents/scientific-conclusion/ocrevus-h-c-psusa-00010662-201809-epar-scientific-conclusions-grounds-variation-terms-marketing_en.pdf</w:t>
        </w:r>
      </w:hyperlink>
      <w:r w:rsidR="0052791B">
        <w:t xml:space="preserve"> </w:t>
      </w:r>
    </w:p>
    <w:p w14:paraId="0DC41959" w14:textId="370D301E" w:rsidR="0052791B" w:rsidRDefault="0052791B" w:rsidP="00491ED5">
      <w:pPr>
        <w:spacing w:after="0"/>
      </w:pPr>
    </w:p>
    <w:p w14:paraId="0FBDEB01" w14:textId="77777777" w:rsidR="0052791B" w:rsidRDefault="0052791B" w:rsidP="0052791B">
      <w:pPr>
        <w:spacing w:after="0"/>
      </w:pPr>
      <w:r>
        <w:t>“Taking into account the PRAC Assessment Report on the PSUR(s) for ocrelizumab, the scientific</w:t>
      </w:r>
    </w:p>
    <w:p w14:paraId="0FFBBF00" w14:textId="2E7BAA43" w:rsidR="0052791B" w:rsidRDefault="0052791B" w:rsidP="0052791B">
      <w:pPr>
        <w:spacing w:after="0"/>
      </w:pPr>
      <w:r>
        <w:t xml:space="preserve">conclusions of CHMP are as follows: In previous PSUR the MAH was requested to provide a cumulative review of all available data regarding the association between hypogammaglobulinemia and serious infections. During the reporting interval, a cumulative review was prepared that analysed the incidence, nature, severity and outcome of serious infections occurring in patients treated with ocrelizumab. At the time of initial Marketing Authorisation </w:t>
      </w:r>
      <w:proofErr w:type="gramStart"/>
      <w:r>
        <w:t>approval</w:t>
      </w:r>
      <w:proofErr w:type="gramEnd"/>
      <w:r>
        <w:t xml:space="preserve"> the exposure from clinical trials was very limited and no define conclusion could be drawn. With the data provided by the MAH in this reporting interval the PRAC concluded that there is an association between low Immunoglobulins level and risk of serious infections, which can be further supported by biological plausibility. Therefore, the PRAC recommended to update section 4.8 of the SmPC to reflect the association between treatment with ocrelizumab, decreased level of immunoglobulins and risk of serious infections.”</w:t>
      </w:r>
    </w:p>
    <w:p w14:paraId="593F9817" w14:textId="4D1A398C" w:rsidR="0052791B" w:rsidRDefault="0052791B" w:rsidP="0052791B">
      <w:pPr>
        <w:spacing w:after="0"/>
      </w:pPr>
      <w:r>
        <w:t>--</w:t>
      </w:r>
    </w:p>
    <w:p w14:paraId="2056D20B" w14:textId="3CE4CC6E" w:rsidR="0052791B" w:rsidRDefault="0052791B" w:rsidP="0052791B">
      <w:pPr>
        <w:spacing w:after="0"/>
      </w:pPr>
    </w:p>
    <w:p w14:paraId="30835F38" w14:textId="0451ED6A" w:rsidR="0052791B" w:rsidRDefault="007B3B4E" w:rsidP="0052791B">
      <w:pPr>
        <w:spacing w:after="0"/>
      </w:pPr>
      <w:hyperlink r:id="rId39" w:history="1">
        <w:r w:rsidR="0052791B" w:rsidRPr="002731D6">
          <w:rPr>
            <w:rStyle w:val="Hyperlink"/>
          </w:rPr>
          <w:t>https://www.ema.europa.eu/en/documents/scientific-conclusion/ocrevus-h-c-psusa-00010662-201903-epar-scientific-conclusions-grounds-variation-terms-marketing_en.pdf</w:t>
        </w:r>
      </w:hyperlink>
      <w:r w:rsidR="0052791B">
        <w:t xml:space="preserve"> </w:t>
      </w:r>
    </w:p>
    <w:p w14:paraId="5349DFBC" w14:textId="77777777" w:rsidR="0052791B" w:rsidRDefault="0052791B" w:rsidP="0052791B">
      <w:pPr>
        <w:spacing w:after="0"/>
      </w:pPr>
    </w:p>
    <w:p w14:paraId="478A280B" w14:textId="4ED81927" w:rsidR="0052791B" w:rsidRDefault="0052791B" w:rsidP="0052791B">
      <w:pPr>
        <w:spacing w:after="0"/>
      </w:pPr>
      <w:r>
        <w:t>“Taking into account the PRAC Assessment Report on the PSUR(s) for ocrelizumab, the scientific</w:t>
      </w:r>
    </w:p>
    <w:p w14:paraId="3F18CF97" w14:textId="3FFCE90F" w:rsidR="0052791B" w:rsidRDefault="0052791B" w:rsidP="0052791B">
      <w:pPr>
        <w:spacing w:after="0"/>
      </w:pPr>
      <w:r>
        <w:t>conclusions of CHMP are as follows: Considering the first report of hepatitis B reactivation published for ocrelizumab and described in the previous PSUR, the PRAC recommended a minor revision of the statements in section 4.4 of the SmPC on the risk of hepatitis B reactivation.”</w:t>
      </w:r>
    </w:p>
    <w:p w14:paraId="6485AA5B" w14:textId="2B266D30" w:rsidR="0052791B" w:rsidRDefault="0052791B" w:rsidP="0052791B">
      <w:pPr>
        <w:spacing w:after="0"/>
      </w:pPr>
      <w:r>
        <w:t>--</w:t>
      </w:r>
    </w:p>
    <w:p w14:paraId="7C3786D4" w14:textId="793C5C49" w:rsidR="0052791B" w:rsidRDefault="0052791B" w:rsidP="0052791B">
      <w:pPr>
        <w:spacing w:after="0"/>
      </w:pPr>
    </w:p>
    <w:p w14:paraId="1BAD64AB" w14:textId="69EBBAA8" w:rsidR="0052791B" w:rsidRDefault="007B3B4E" w:rsidP="0052791B">
      <w:pPr>
        <w:spacing w:after="0"/>
      </w:pPr>
      <w:hyperlink r:id="rId40" w:history="1">
        <w:r w:rsidR="0052791B" w:rsidRPr="002731D6">
          <w:rPr>
            <w:rStyle w:val="Hyperlink"/>
          </w:rPr>
          <w:t>https://www.ema.europa.eu/en/documents/scientific-conclusion/ocrevus-h-c-psusa-00010662-202003-epar-scientific-conclusions-grounds-variation-terms-marketing_en.pdf</w:t>
        </w:r>
      </w:hyperlink>
      <w:r w:rsidR="0052791B">
        <w:t xml:space="preserve"> </w:t>
      </w:r>
    </w:p>
    <w:p w14:paraId="13649FB1" w14:textId="164F08EB" w:rsidR="0052791B" w:rsidRDefault="0052791B" w:rsidP="0052791B">
      <w:pPr>
        <w:spacing w:after="0"/>
      </w:pPr>
    </w:p>
    <w:p w14:paraId="19F6D76A" w14:textId="77777777" w:rsidR="00534EAA" w:rsidRDefault="0052791B" w:rsidP="00534EAA">
      <w:pPr>
        <w:spacing w:after="0"/>
      </w:pPr>
      <w:r>
        <w:t>“</w:t>
      </w:r>
      <w:r w:rsidR="00534EAA">
        <w:t xml:space="preserve">Taking into account the PRAC Assessment Report on the PSUR(s) for </w:t>
      </w:r>
      <w:proofErr w:type="spellStart"/>
      <w:r w:rsidR="00534EAA">
        <w:t>orelizumab</w:t>
      </w:r>
      <w:proofErr w:type="spellEnd"/>
      <w:r w:rsidR="00534EAA">
        <w:t>, the scientific</w:t>
      </w:r>
    </w:p>
    <w:p w14:paraId="7115DB03" w14:textId="0418CE97" w:rsidR="0052791B" w:rsidRDefault="00534EAA" w:rsidP="00534EAA">
      <w:pPr>
        <w:spacing w:after="0"/>
      </w:pPr>
      <w:r>
        <w:t>conclusions of the CHMP are as follows: In view of available data on the risk of late onset of neutropenia from the literature and spontaneous reports, and in view of a plausible class effect in therapeutic CD20 antibodies, the PRAC considers a causal relationship between ocrelizumab and late onset of neutropenia is at least a reasonable possibility. The PRAC concluded that the product information of products containing ocrelizumab should be amended accordingly.</w:t>
      </w:r>
      <w:r w:rsidR="0052791B">
        <w:t>”</w:t>
      </w:r>
    </w:p>
    <w:p w14:paraId="3D694D4F" w14:textId="77777777" w:rsidR="00491ED5" w:rsidRPr="007A4B1C" w:rsidRDefault="00491ED5" w:rsidP="00A0185B"/>
    <w:p w14:paraId="748819A9" w14:textId="1359ECD9" w:rsidR="00A0185B" w:rsidRPr="000148F2" w:rsidRDefault="00A0185B" w:rsidP="000148F2">
      <w:pPr>
        <w:pStyle w:val="Heading2"/>
        <w:rPr>
          <w:color w:val="FF0000"/>
        </w:rPr>
      </w:pPr>
      <w:bookmarkStart w:id="9" w:name="_Toc104798913"/>
      <w:r w:rsidRPr="000148F2">
        <w:rPr>
          <w:color w:val="FF0000"/>
        </w:rPr>
        <w:t>Rituximab</w:t>
      </w:r>
      <w:r w:rsidR="001C1012" w:rsidRPr="000148F2">
        <w:rPr>
          <w:color w:val="FF0000"/>
        </w:rPr>
        <w:t xml:space="preserve"> – off-label</w:t>
      </w:r>
      <w:r w:rsidR="001F51DC">
        <w:rPr>
          <w:color w:val="FF0000"/>
        </w:rPr>
        <w:t>, several brands exist</w:t>
      </w:r>
      <w:bookmarkEnd w:id="9"/>
    </w:p>
    <w:p w14:paraId="362DE159" w14:textId="738D1201" w:rsidR="001F51DC" w:rsidRPr="001F51DC" w:rsidRDefault="001F51DC" w:rsidP="001F51DC">
      <w:proofErr w:type="spellStart"/>
      <w:r w:rsidRPr="001F51DC">
        <w:rPr>
          <w:i/>
          <w:iCs/>
        </w:rPr>
        <w:t>MabThera</w:t>
      </w:r>
      <w:proofErr w:type="spellEnd"/>
    </w:p>
    <w:p w14:paraId="1E246ACE" w14:textId="1FAE1EC0" w:rsidR="001F51DC" w:rsidRDefault="001F51DC" w:rsidP="001F51DC">
      <w:r>
        <w:t xml:space="preserve">Since authorisation: </w:t>
      </w:r>
      <w:hyperlink r:id="rId41" w:history="1">
        <w:r w:rsidRPr="002731D6">
          <w:rPr>
            <w:rStyle w:val="Hyperlink"/>
          </w:rPr>
          <w:t>https://www.ema.europa.eu/en/documents/procedural-steps-after/mabthera-epar-procedural-steps-taken-scientific-information-after-authorisation_en.pdf</w:t>
        </w:r>
      </w:hyperlink>
      <w:r>
        <w:t xml:space="preserve"> </w:t>
      </w:r>
    </w:p>
    <w:p w14:paraId="3035F3CE" w14:textId="5C310995" w:rsidR="001F51DC" w:rsidRDefault="001F51DC" w:rsidP="001F51DC">
      <w:r>
        <w:t xml:space="preserve">There are a number of changes, please refer to link above. </w:t>
      </w:r>
    </w:p>
    <w:p w14:paraId="60497B22" w14:textId="3C63FFAD" w:rsidR="009D4D18" w:rsidRDefault="009D4D18" w:rsidP="001F51DC">
      <w:r>
        <w:t xml:space="preserve">Of note: </w:t>
      </w:r>
    </w:p>
    <w:p w14:paraId="00AE0A57" w14:textId="62268824" w:rsidR="00FB3CAF" w:rsidRDefault="00FB3CAF" w:rsidP="00FB3CAF">
      <w:r w:rsidRPr="00FB3CAF">
        <w:t>20/11/20</w:t>
      </w:r>
      <w:r>
        <w:t xml:space="preserve">13: “The Summary of Product Characteristics for </w:t>
      </w:r>
      <w:proofErr w:type="spellStart"/>
      <w:r>
        <w:t>MabThera</w:t>
      </w:r>
      <w:proofErr w:type="spellEnd"/>
      <w:r>
        <w:t xml:space="preserve"> is updated in section 4.4 with further information on the cases of hepatitis B reactivation and recommending hepatitis B virus screening to be performed in all patients before initiation of treatment, as per local guidelines. This </w:t>
      </w:r>
      <w:r>
        <w:lastRenderedPageBreak/>
        <w:t>information is to be communicated directly to the treating physicians and relevant Healthcare professionals via a ‘Dear Healthcare Professional Communication’.”</w:t>
      </w:r>
    </w:p>
    <w:p w14:paraId="7B41B813" w14:textId="635460B2" w:rsidR="009D4D18" w:rsidRDefault="009D4D18" w:rsidP="009D4D18">
      <w:r w:rsidRPr="009D4D18">
        <w:t>22/04/2013</w:t>
      </w:r>
      <w:r>
        <w:t xml:space="preserve">: “Sections 4.4, and 5.1 of the SmPC have been updated to reflect that a small proportion of patients had prolonged peripheral B cell depletion lasting 2 years or more after their last dose of </w:t>
      </w:r>
      <w:proofErr w:type="spellStart"/>
      <w:r>
        <w:t>MabThera</w:t>
      </w:r>
      <w:proofErr w:type="spellEnd"/>
      <w:r>
        <w:t xml:space="preserve">. Based on the mechanism of action of </w:t>
      </w:r>
      <w:proofErr w:type="spellStart"/>
      <w:r>
        <w:t>MabThera</w:t>
      </w:r>
      <w:proofErr w:type="spellEnd"/>
      <w:r>
        <w:t xml:space="preserve"> and the knowledge that B cells play an important role in maintaining normal immune response, patients have an increased risk of infection following </w:t>
      </w:r>
      <w:proofErr w:type="spellStart"/>
      <w:r>
        <w:t>MabThera</w:t>
      </w:r>
      <w:proofErr w:type="spellEnd"/>
      <w:r>
        <w:t xml:space="preserve"> therapy. A small number of spontaneous and literature cases of </w:t>
      </w:r>
      <w:proofErr w:type="spellStart"/>
      <w:r>
        <w:t>hypogammaglobulinaemia</w:t>
      </w:r>
      <w:proofErr w:type="spellEnd"/>
      <w:r>
        <w:t xml:space="preserve"> have been observed in </w:t>
      </w:r>
      <w:proofErr w:type="spellStart"/>
      <w:r>
        <w:t>pediatric</w:t>
      </w:r>
      <w:proofErr w:type="spellEnd"/>
      <w:r>
        <w:t xml:space="preserve"> patients treated with </w:t>
      </w:r>
      <w:proofErr w:type="spellStart"/>
      <w:r>
        <w:t>MabThera</w:t>
      </w:r>
      <w:proofErr w:type="spellEnd"/>
      <w:r>
        <w:t xml:space="preserve">, in some cases severe and requiring long-term immunoglobulin substitution therapy. The consequences of </w:t>
      </w:r>
      <w:proofErr w:type="gramStart"/>
      <w:r>
        <w:t>long term</w:t>
      </w:r>
      <w:proofErr w:type="gramEnd"/>
      <w:r>
        <w:t xml:space="preserve"> B cell depletion in paediatric patients are unknown. This information was added in section 4.8 of the SmPC. In addition, a numerical value given for response to vaccination was corrected and the statement referring to the occurrence of progressive multifocal leukoencephalopathy, under section 4.4 was reworded. Pneumocystis </w:t>
      </w:r>
      <w:proofErr w:type="spellStart"/>
      <w:r>
        <w:t>jirovecii</w:t>
      </w:r>
      <w:proofErr w:type="spellEnd"/>
      <w:r>
        <w:t xml:space="preserve"> infection was added in section 4.8. as “rare” and PML was added as very rare. The Package Leaflet was proposed to be updated accordingly. In </w:t>
      </w:r>
      <w:proofErr w:type="gramStart"/>
      <w:r>
        <w:t>addition</w:t>
      </w:r>
      <w:proofErr w:type="gramEnd"/>
      <w:r>
        <w:t xml:space="preserve"> editorial changes were made to the product information to comply with QRD template version 8 (revision 3) among these was the addition of a ‘Fertility’ sub-section and a statement under 4.6 on the lack of data on fertility. The MAH took this opportunity to make some minor typographical amendments to the SmPC and PL text”</w:t>
      </w:r>
    </w:p>
    <w:p w14:paraId="370E6621" w14:textId="55FAA948" w:rsidR="009D4D18" w:rsidRDefault="009D4D18" w:rsidP="00377339">
      <w:r w:rsidRPr="009D4D18">
        <w:t>14/12/2011</w:t>
      </w:r>
      <w:r>
        <w:t>: “</w:t>
      </w:r>
      <w:r w:rsidR="00377339">
        <w:t xml:space="preserve">The MAH has submitted a group of type II variations to update the </w:t>
      </w:r>
      <w:proofErr w:type="spellStart"/>
      <w:r w:rsidR="00377339">
        <w:t>Mabthera</w:t>
      </w:r>
      <w:proofErr w:type="spellEnd"/>
      <w:r w:rsidR="00377339">
        <w:t xml:space="preserve"> SmPC section 4.4, 4.8 and 5.1 with safety data further to several requests from the CHMP. Section 4 of the PL is also amended as a consequence. The</w:t>
      </w:r>
      <w:r w:rsidR="00377339" w:rsidRPr="00377339">
        <w:t xml:space="preserve"> </w:t>
      </w:r>
      <w:r w:rsidR="00377339">
        <w:t xml:space="preserve">changes are as follows; 1. </w:t>
      </w:r>
      <w:proofErr w:type="spellStart"/>
      <w:r w:rsidR="00377339">
        <w:t>Reassignement</w:t>
      </w:r>
      <w:proofErr w:type="spellEnd"/>
      <w:r w:rsidR="00377339">
        <w:t xml:space="preserve"> of the frequency of several adverse drug reactions (ADRs) listed as "unknown" to very rare or rare, as </w:t>
      </w:r>
      <w:proofErr w:type="spellStart"/>
      <w:r w:rsidR="00377339">
        <w:t>applicacle</w:t>
      </w:r>
      <w:proofErr w:type="spellEnd"/>
      <w:r w:rsidR="00377339">
        <w:t>, in Table 1 of the SmPC (Section 4.8 Undesirable Effects) according to the current EC SmPC Guideline. 2. Update of the information regarding the risk of prolonged B-cell depletion further to a cumulative review. 3. Update of the warning related to hepatitis B, particularly with regard to the screening and surveillance. 4. Update of the information regarding the risk of prolonged neutropenia in the Chronic Lymphocytic Leukaemia (CLL) indication. 5. Addition of a warning on cardiac events in the rheumatoid arthritis (RA) indication further to the conduct of a cumulative review.</w:t>
      </w:r>
      <w:r>
        <w:t>”</w:t>
      </w:r>
    </w:p>
    <w:p w14:paraId="2A8BF8EE" w14:textId="2EA50CDF" w:rsidR="00973A9A" w:rsidRDefault="00973A9A" w:rsidP="00973A9A">
      <w:r w:rsidRPr="00973A9A">
        <w:t>23/03/20</w:t>
      </w:r>
      <w:r>
        <w:t xml:space="preserve">10: “This variation application was submitted in order to amend section 4.2 of the SPC to add reference to the </w:t>
      </w:r>
      <w:proofErr w:type="spellStart"/>
      <w:r>
        <w:t>MabThera</w:t>
      </w:r>
      <w:proofErr w:type="spellEnd"/>
      <w:r>
        <w:t xml:space="preserve"> Rheumatoid arthritis patient alert card. The PL has been updated accordingly. In addition to this, section 4.8 has been updated to add reference to the following adverse events: infusion related acute reversible thrombocytopenia, interstitial lung disease, Progressive Multifocal Leukoencephalopathy (PML) and serum sickness-like reaction. Furthermore, section 4.4 has been updated based on the experience gained from all of the reported cases of PML and in order to be consistent with information given in section 4.8. These sections have been updated to reflect the safety data from post marketing experience.”</w:t>
      </w:r>
    </w:p>
    <w:p w14:paraId="5D43D848" w14:textId="77777777" w:rsidR="00973A9A" w:rsidRDefault="00973A9A" w:rsidP="00973A9A">
      <w:r w:rsidRPr="00973A9A">
        <w:t>04/07/2008</w:t>
      </w:r>
      <w:r>
        <w:t>: “The following sections of the Product Information have</w:t>
      </w:r>
    </w:p>
    <w:p w14:paraId="7587850E" w14:textId="7A02FBBC" w:rsidR="00973A9A" w:rsidRDefault="00973A9A" w:rsidP="00973A9A">
      <w:r>
        <w:t>been amended:</w:t>
      </w:r>
      <w:r w:rsidR="00D17EA5">
        <w:t xml:space="preserve"> </w:t>
      </w:r>
      <w:r>
        <w:t>- Section 4.4: Opportunistic and reactivation</w:t>
      </w:r>
      <w:r w:rsidR="00D17EA5">
        <w:t xml:space="preserve"> </w:t>
      </w:r>
      <w:r>
        <w:t>infections: update of text regarding reactivation of Hepatitis</w:t>
      </w:r>
      <w:r w:rsidR="00D17EA5">
        <w:t xml:space="preserve"> </w:t>
      </w:r>
      <w:r>
        <w:t>B infections.</w:t>
      </w:r>
      <w:r w:rsidR="00D17EA5">
        <w:t xml:space="preserve"> </w:t>
      </w:r>
      <w:r>
        <w:t>- Section 4.5: Deletion of redundant information</w:t>
      </w:r>
      <w:r w:rsidR="00D17EA5">
        <w:t xml:space="preserve"> </w:t>
      </w:r>
      <w:r>
        <w:t>from the interactions section of the SmPC; interaction of</w:t>
      </w:r>
      <w:r w:rsidR="00D17EA5">
        <w:t xml:space="preserve"> </w:t>
      </w:r>
      <w:proofErr w:type="spellStart"/>
      <w:r>
        <w:t>MabThera</w:t>
      </w:r>
      <w:proofErr w:type="spellEnd"/>
      <w:r>
        <w:t xml:space="preserve"> with chemotherapy other than</w:t>
      </w:r>
      <w:r w:rsidR="00D17EA5">
        <w:t xml:space="preserve"> </w:t>
      </w:r>
      <w:r>
        <w:t>cyclophosphamide, doxorubicin, vincristine, prednisolone</w:t>
      </w:r>
      <w:r w:rsidR="00D17EA5">
        <w:t xml:space="preserve"> </w:t>
      </w:r>
      <w:r>
        <w:t>[CHOP] or cyclophosphamide, vincristine, prednisolone</w:t>
      </w:r>
      <w:r w:rsidR="00D17EA5">
        <w:t xml:space="preserve"> </w:t>
      </w:r>
      <w:r>
        <w:t>[CVP].</w:t>
      </w:r>
      <w:r w:rsidR="00D17EA5">
        <w:t xml:space="preserve"> </w:t>
      </w:r>
      <w:r>
        <w:t>- Section 4.6: Adverse events during pregnancy and</w:t>
      </w:r>
      <w:r w:rsidR="00D17EA5">
        <w:t xml:space="preserve"> </w:t>
      </w:r>
      <w:r>
        <w:t xml:space="preserve">lactation and the use of </w:t>
      </w:r>
      <w:proofErr w:type="spellStart"/>
      <w:r>
        <w:t>MabThera</w:t>
      </w:r>
      <w:proofErr w:type="spellEnd"/>
      <w:r>
        <w:t xml:space="preserve"> - to include safety</w:t>
      </w:r>
      <w:r w:rsidR="00D17EA5">
        <w:t xml:space="preserve"> </w:t>
      </w:r>
      <w:r>
        <w:t>observations from a limited number of pregnancies.</w:t>
      </w:r>
      <w:r w:rsidRPr="00973A9A">
        <w:t xml:space="preserve"> </w:t>
      </w:r>
      <w:r>
        <w:t>Section 4.8: Information in relation to "Progression</w:t>
      </w:r>
      <w:r w:rsidR="00D17EA5">
        <w:t xml:space="preserve"> </w:t>
      </w:r>
      <w:r>
        <w:t>of Kaposi's sarcoma" to include progression of Kaposi's</w:t>
      </w:r>
      <w:r w:rsidR="00D17EA5">
        <w:t xml:space="preserve"> </w:t>
      </w:r>
      <w:r>
        <w:t xml:space="preserve">sarcoma following treatment with </w:t>
      </w:r>
      <w:proofErr w:type="spellStart"/>
      <w:r>
        <w:t>MabThera</w:t>
      </w:r>
      <w:proofErr w:type="spellEnd"/>
      <w:r>
        <w:t xml:space="preserve"> +</w:t>
      </w:r>
      <w:r w:rsidR="00D17EA5">
        <w:t xml:space="preserve"> </w:t>
      </w:r>
      <w:r>
        <w:t>chemotherapy".</w:t>
      </w:r>
      <w:r w:rsidR="00D17EA5">
        <w:t xml:space="preserve"> </w:t>
      </w:r>
      <w:r>
        <w:t xml:space="preserve">In </w:t>
      </w:r>
      <w:proofErr w:type="gramStart"/>
      <w:r>
        <w:t>addition:,</w:t>
      </w:r>
      <w:proofErr w:type="gramEnd"/>
      <w:r>
        <w:t xml:space="preserve"> as committed during </w:t>
      </w:r>
      <w:r>
        <w:lastRenderedPageBreak/>
        <w:t>the license renewal</w:t>
      </w:r>
      <w:r w:rsidR="00D17EA5">
        <w:t xml:space="preserve"> </w:t>
      </w:r>
      <w:r>
        <w:t>procedure and in order to better comply with the current</w:t>
      </w:r>
      <w:r w:rsidR="00D17EA5">
        <w:t xml:space="preserve"> </w:t>
      </w:r>
      <w:r>
        <w:t>approved SPC guideline (2005) whilst considering the latest</w:t>
      </w:r>
      <w:r w:rsidR="00D17EA5">
        <w:t xml:space="preserve"> </w:t>
      </w:r>
      <w:r>
        <w:t>proposal for SPC guidance (revision released in December</w:t>
      </w:r>
      <w:r w:rsidR="00D17EA5">
        <w:t xml:space="preserve"> </w:t>
      </w:r>
      <w:r>
        <w:t>2007 for consultation) the Marketing Authorisation Holder</w:t>
      </w:r>
      <w:r w:rsidR="00D17EA5">
        <w:t xml:space="preserve"> </w:t>
      </w:r>
      <w:r>
        <w:t xml:space="preserve">has overall revised section 4.8. </w:t>
      </w:r>
      <w:proofErr w:type="gramStart"/>
      <w:r>
        <w:t>Also</w:t>
      </w:r>
      <w:proofErr w:type="gramEnd"/>
      <w:r>
        <w:t xml:space="preserve"> the MAH has taken the</w:t>
      </w:r>
      <w:r w:rsidR="00D17EA5">
        <w:t xml:space="preserve"> </w:t>
      </w:r>
      <w:r>
        <w:t>opportunity to address comments received as a part of the</w:t>
      </w:r>
      <w:r w:rsidR="00D17EA5">
        <w:t xml:space="preserve"> </w:t>
      </w:r>
      <w:r>
        <w:t>recent 10-years renewal of the MA, including editorial</w:t>
      </w:r>
      <w:r w:rsidR="00D17EA5">
        <w:t xml:space="preserve"> </w:t>
      </w:r>
      <w:r>
        <w:t>revisions of the Labelling and the Package Leaflet”</w:t>
      </w:r>
    </w:p>
    <w:p w14:paraId="5F8048C4" w14:textId="57746F94" w:rsidR="00D17EA5" w:rsidRDefault="00D17EA5" w:rsidP="00973A9A"/>
    <w:p w14:paraId="28E95B95" w14:textId="574AD342" w:rsidR="00D17EA5" w:rsidRDefault="00D17EA5" w:rsidP="00D17EA5">
      <w:r w:rsidRPr="00D17EA5">
        <w:t>03/09/2007</w:t>
      </w:r>
      <w:r>
        <w:t>: “In February 2007, the CHMP requested that the European</w:t>
      </w:r>
      <w:r w:rsidR="00BE75F7">
        <w:t xml:space="preserve"> </w:t>
      </w:r>
      <w:r>
        <w:t>Marketing Authorisation Holder, Roche, issue a DDL across</w:t>
      </w:r>
      <w:r w:rsidR="00BE75F7">
        <w:t xml:space="preserve"> </w:t>
      </w:r>
      <w:r>
        <w:t>the EU concerning the two reported cases of PML.</w:t>
      </w:r>
      <w:r w:rsidR="00BE75F7">
        <w:t xml:space="preserve"> </w:t>
      </w:r>
      <w:r>
        <w:t>Subsequently a new case of PML in a vasculitis patient was</w:t>
      </w:r>
      <w:r w:rsidR="00BE75F7">
        <w:t xml:space="preserve"> </w:t>
      </w:r>
      <w:r>
        <w:t>reported and the DDL was revised and issued as of 2 April</w:t>
      </w:r>
      <w:r w:rsidR="00BE75F7">
        <w:t xml:space="preserve"> </w:t>
      </w:r>
      <w:r>
        <w:t>2007. The current variation is to update section 4.4. of the</w:t>
      </w:r>
      <w:r w:rsidR="00BE75F7">
        <w:t xml:space="preserve"> </w:t>
      </w:r>
      <w:r>
        <w:t>SPC and also section 4 of the PIL with appropriate wording</w:t>
      </w:r>
      <w:r w:rsidR="00BE75F7">
        <w:t xml:space="preserve"> </w:t>
      </w:r>
      <w:r>
        <w:t>covering PML in Non-</w:t>
      </w:r>
      <w:proofErr w:type="spellStart"/>
      <w:r>
        <w:t>Hodgkins</w:t>
      </w:r>
      <w:proofErr w:type="spellEnd"/>
      <w:r>
        <w:t xml:space="preserve"> Lymphoma and autoimmune</w:t>
      </w:r>
      <w:r w:rsidR="00BE75F7">
        <w:t xml:space="preserve"> </w:t>
      </w:r>
      <w:r>
        <w:t>diseases.</w:t>
      </w:r>
      <w:r w:rsidR="00BE75F7">
        <w:t xml:space="preserve"> </w:t>
      </w:r>
      <w:r>
        <w:t>Since then, the position on the interpretation of PML cases</w:t>
      </w:r>
      <w:r w:rsidR="00BE75F7">
        <w:t xml:space="preserve"> </w:t>
      </w:r>
      <w:r>
        <w:t>reported in NHL patients has not changed. However,</w:t>
      </w:r>
      <w:r w:rsidR="00BE75F7">
        <w:t xml:space="preserve"> </w:t>
      </w:r>
      <w:r>
        <w:t>considering the severity of the conditions and the proposal</w:t>
      </w:r>
      <w:r w:rsidR="00BE75F7">
        <w:t xml:space="preserve"> </w:t>
      </w:r>
      <w:r>
        <w:t>to update the "Warnings" Section of the SPC with a</w:t>
      </w:r>
      <w:r w:rsidR="00BE75F7">
        <w:t xml:space="preserve"> </w:t>
      </w:r>
      <w:r>
        <w:t>statement regarding the observed cases of PML with off-</w:t>
      </w:r>
      <w:r w:rsidR="00BE75F7">
        <w:t xml:space="preserve"> </w:t>
      </w:r>
      <w:r>
        <w:t>label use of rituximab in SLE/</w:t>
      </w:r>
      <w:proofErr w:type="spellStart"/>
      <w:r>
        <w:t>vasculits</w:t>
      </w:r>
      <w:proofErr w:type="spellEnd"/>
      <w:r>
        <w:t xml:space="preserve"> patients, it is</w:t>
      </w:r>
      <w:r w:rsidR="00BE75F7">
        <w:t xml:space="preserve"> </w:t>
      </w:r>
      <w:r>
        <w:t>appropriate to include a text on PML in the "Warnings"</w:t>
      </w:r>
      <w:r w:rsidR="00BE75F7">
        <w:t xml:space="preserve"> </w:t>
      </w:r>
      <w:r>
        <w:t>Section of the SPC, in addition to the text in the post</w:t>
      </w:r>
      <w:r w:rsidRPr="00D17EA5">
        <w:t xml:space="preserve"> marketing experience of the "Undesirable Effects" secti</w:t>
      </w:r>
      <w:r w:rsidR="00BE75F7">
        <w:t>on.</w:t>
      </w:r>
      <w:r>
        <w:t>”</w:t>
      </w:r>
    </w:p>
    <w:p w14:paraId="59EDD36C" w14:textId="168DE258" w:rsidR="009D4D18" w:rsidRDefault="009D4D18" w:rsidP="00FB3CAF">
      <w:r>
        <w:t>--</w:t>
      </w:r>
    </w:p>
    <w:p w14:paraId="478998FA" w14:textId="6EFABE39" w:rsidR="001F51DC" w:rsidRDefault="007B3B4E" w:rsidP="001F51DC">
      <w:hyperlink r:id="rId42" w:history="1">
        <w:r w:rsidR="00FB3CAF" w:rsidRPr="002731D6">
          <w:rPr>
            <w:rStyle w:val="Hyperlink"/>
          </w:rPr>
          <w:t>https://www.ema.europa.eu/en/documents/scientific-conclusion/mabthera-h-c-psusa-00002652-202011-epar-scientific-conclusions-grounds-variation-terms-marketing_en.pdf</w:t>
        </w:r>
      </w:hyperlink>
      <w:r w:rsidR="00FB3CAF">
        <w:t xml:space="preserve"> </w:t>
      </w:r>
    </w:p>
    <w:p w14:paraId="24609568" w14:textId="1597854D" w:rsidR="00FB3CAF" w:rsidRPr="001F51DC" w:rsidRDefault="00FB3CAF" w:rsidP="00FB3CAF">
      <w:r>
        <w:t>“Taking into account the PRAC Assessment Report on the PSUR for rituximab, the scientific conclusions of the CHMP are as follows: In view of available data on the risk of malignancy from clinical trials, the literature, spontaneous reports and observational post-authorisation safety studies indicating no increased risk of malignancy in the autoimmune indications, the PRAC considers amendments to the product information are warranted. Moreover, based on evidence from literature articles of rituximab excretion into human breast milk, the PRAC considers amendments to the product information are warranted”</w:t>
      </w:r>
    </w:p>
    <w:p w14:paraId="244D5D6F" w14:textId="0AE2B45C" w:rsidR="00A0185B" w:rsidRDefault="00A0185B" w:rsidP="000148F2">
      <w:pPr>
        <w:pStyle w:val="Heading2"/>
        <w:rPr>
          <w:i/>
          <w:iCs/>
        </w:rPr>
      </w:pPr>
      <w:bookmarkStart w:id="10" w:name="_Toc104798914"/>
      <w:r w:rsidRPr="00B441AF">
        <w:t>Siponimod</w:t>
      </w:r>
      <w:r w:rsidR="000D307D">
        <w:t xml:space="preserve">: </w:t>
      </w:r>
      <w:proofErr w:type="spellStart"/>
      <w:r w:rsidR="000D307D">
        <w:rPr>
          <w:i/>
          <w:iCs/>
        </w:rPr>
        <w:t>Mayzent</w:t>
      </w:r>
      <w:bookmarkEnd w:id="10"/>
      <w:proofErr w:type="spellEnd"/>
    </w:p>
    <w:p w14:paraId="27421936" w14:textId="509E6310" w:rsidR="000D307D" w:rsidRDefault="000D307D" w:rsidP="00A0185B">
      <w:r>
        <w:t xml:space="preserve">Since authorisation: </w:t>
      </w:r>
      <w:hyperlink r:id="rId43" w:history="1">
        <w:r w:rsidRPr="002731D6">
          <w:rPr>
            <w:rStyle w:val="Hyperlink"/>
          </w:rPr>
          <w:t>https://www.ema.europa.eu/en/documents/procedural-steps-after/mayzent-epar-procedural-steps-taken-scientific-information-after-authorisation_en.pdf</w:t>
        </w:r>
      </w:hyperlink>
      <w:r>
        <w:t xml:space="preserve"> </w:t>
      </w:r>
    </w:p>
    <w:p w14:paraId="674B4E2D" w14:textId="3EC7E26E" w:rsidR="000D307D" w:rsidRDefault="000D307D" w:rsidP="00A0185B">
      <w:r>
        <w:t xml:space="preserve">There are a number of changes, please refer to link above. </w:t>
      </w:r>
    </w:p>
    <w:p w14:paraId="08972489" w14:textId="208643EE" w:rsidR="000D307D" w:rsidRDefault="000D307D" w:rsidP="00A0185B">
      <w:r>
        <w:t xml:space="preserve">Of note: </w:t>
      </w:r>
    </w:p>
    <w:p w14:paraId="27AD8271" w14:textId="6173A44D" w:rsidR="00D14333" w:rsidRDefault="007B3B4E" w:rsidP="00D14333">
      <w:pPr>
        <w:spacing w:after="0"/>
      </w:pPr>
      <w:hyperlink r:id="rId44" w:history="1">
        <w:r w:rsidR="00D14333" w:rsidRPr="002731D6">
          <w:rPr>
            <w:rStyle w:val="Hyperlink"/>
          </w:rPr>
          <w:t>https://www.ema.europa.eu/en/documents/scientific-conclusion/mayzent-psusa-00010818-202003-epar-scientific-conclusions-grounds-variation-terms-marketing_en.pdf</w:t>
        </w:r>
      </w:hyperlink>
      <w:r w:rsidR="00D14333">
        <w:t xml:space="preserve"> </w:t>
      </w:r>
    </w:p>
    <w:p w14:paraId="59E8CDBD" w14:textId="15466995" w:rsidR="00D14333" w:rsidRDefault="00D14333" w:rsidP="00D14333">
      <w:pPr>
        <w:spacing w:after="0"/>
      </w:pPr>
      <w:r>
        <w:t xml:space="preserve">“Taking into account the PRAC Assessment Report on the PSUR(s) for </w:t>
      </w:r>
      <w:proofErr w:type="spellStart"/>
      <w:r>
        <w:t>siponimod</w:t>
      </w:r>
      <w:proofErr w:type="spellEnd"/>
      <w:r>
        <w:t xml:space="preserve">, the scientific conclusions of CHMP are as follows: Given the Basal Cell Carcinoma </w:t>
      </w:r>
      <w:proofErr w:type="spellStart"/>
      <w:r>
        <w:t>siponimod</w:t>
      </w:r>
      <w:proofErr w:type="spellEnd"/>
      <w:r>
        <w:t xml:space="preserve"> data and background data, there is evidence for an increase in the risk of BCC with </w:t>
      </w:r>
      <w:proofErr w:type="spellStart"/>
      <w:r>
        <w:t>siponimod</w:t>
      </w:r>
      <w:proofErr w:type="spellEnd"/>
      <w:r>
        <w:t xml:space="preserve">. The underlying mechanism is unknown, but a hypothetical mechanism related to systemic immunosuppression and reduced immune-surveillance for increased risk of BCC in patients treated with </w:t>
      </w:r>
      <w:proofErr w:type="spellStart"/>
      <w:r>
        <w:t>siponimod</w:t>
      </w:r>
      <w:proofErr w:type="spellEnd"/>
      <w:r>
        <w:t xml:space="preserve"> has been suggested. The Product Information should be varied accordingly.”</w:t>
      </w:r>
    </w:p>
    <w:p w14:paraId="494D47E1" w14:textId="47CB3C6F" w:rsidR="004D3C62" w:rsidRDefault="004D3C62" w:rsidP="00D14333">
      <w:pPr>
        <w:spacing w:after="0"/>
      </w:pPr>
      <w:r>
        <w:t>--</w:t>
      </w:r>
    </w:p>
    <w:p w14:paraId="5ADA508E" w14:textId="3202BC1B" w:rsidR="004D3C62" w:rsidRDefault="007B3B4E" w:rsidP="00D14333">
      <w:pPr>
        <w:spacing w:after="0"/>
      </w:pPr>
      <w:hyperlink r:id="rId45" w:history="1">
        <w:r w:rsidR="004D3C62" w:rsidRPr="002731D6">
          <w:rPr>
            <w:rStyle w:val="Hyperlink"/>
          </w:rPr>
          <w:t>https://www.ema.europa.eu/en/documents/variation-report/mayzent-h-c-4712-x-07-epar-assessment-report-variation_en.pdf</w:t>
        </w:r>
      </w:hyperlink>
      <w:r w:rsidR="004D3C62">
        <w:t xml:space="preserve"> </w:t>
      </w:r>
    </w:p>
    <w:p w14:paraId="2997C978" w14:textId="77777777" w:rsidR="00A0185B" w:rsidRDefault="00A0185B"/>
    <w:sectPr w:rsidR="00A0185B">
      <w:footerReference w:type="defaul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D505C" w14:textId="77777777" w:rsidR="007B3B4E" w:rsidRDefault="007B3B4E" w:rsidP="008101C0">
      <w:pPr>
        <w:spacing w:after="0" w:line="240" w:lineRule="auto"/>
      </w:pPr>
      <w:r>
        <w:separator/>
      </w:r>
    </w:p>
  </w:endnote>
  <w:endnote w:type="continuationSeparator" w:id="0">
    <w:p w14:paraId="3F596CC9" w14:textId="77777777" w:rsidR="007B3B4E" w:rsidRDefault="007B3B4E" w:rsidP="00810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400805"/>
      <w:docPartObj>
        <w:docPartGallery w:val="Page Numbers (Bottom of Page)"/>
        <w:docPartUnique/>
      </w:docPartObj>
    </w:sdtPr>
    <w:sdtEndPr>
      <w:rPr>
        <w:color w:val="7F7F7F" w:themeColor="background1" w:themeShade="7F"/>
        <w:spacing w:val="60"/>
      </w:rPr>
    </w:sdtEndPr>
    <w:sdtContent>
      <w:p w14:paraId="642DCBA8" w14:textId="2FE4E6E0" w:rsidR="008101C0" w:rsidRDefault="008101C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559740C" w14:textId="77777777" w:rsidR="008101C0" w:rsidRDefault="00810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4E576" w14:textId="77777777" w:rsidR="007B3B4E" w:rsidRDefault="007B3B4E" w:rsidP="008101C0">
      <w:pPr>
        <w:spacing w:after="0" w:line="240" w:lineRule="auto"/>
      </w:pPr>
      <w:r>
        <w:separator/>
      </w:r>
    </w:p>
  </w:footnote>
  <w:footnote w:type="continuationSeparator" w:id="0">
    <w:p w14:paraId="2ACDE005" w14:textId="77777777" w:rsidR="007B3B4E" w:rsidRDefault="007B3B4E" w:rsidP="00810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37048"/>
    <w:multiLevelType w:val="hybridMultilevel"/>
    <w:tmpl w:val="83886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36CB5"/>
    <w:multiLevelType w:val="hybridMultilevel"/>
    <w:tmpl w:val="5CC2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E5EF2"/>
    <w:multiLevelType w:val="hybridMultilevel"/>
    <w:tmpl w:val="8C2E3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3C26DB"/>
    <w:multiLevelType w:val="hybridMultilevel"/>
    <w:tmpl w:val="5052B37C"/>
    <w:lvl w:ilvl="0" w:tplc="506485E0">
      <w:start w:val="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5429984">
    <w:abstractNumId w:val="2"/>
  </w:num>
  <w:num w:numId="2" w16cid:durableId="1992826057">
    <w:abstractNumId w:val="0"/>
  </w:num>
  <w:num w:numId="3" w16cid:durableId="1676610213">
    <w:abstractNumId w:val="1"/>
  </w:num>
  <w:num w:numId="4" w16cid:durableId="892348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5B"/>
    <w:rsid w:val="000148F2"/>
    <w:rsid w:val="000234F6"/>
    <w:rsid w:val="000573EA"/>
    <w:rsid w:val="000A425A"/>
    <w:rsid w:val="000D307D"/>
    <w:rsid w:val="001316EF"/>
    <w:rsid w:val="00142D05"/>
    <w:rsid w:val="00164D33"/>
    <w:rsid w:val="0017642D"/>
    <w:rsid w:val="001C1012"/>
    <w:rsid w:val="001C7E69"/>
    <w:rsid w:val="001F51DC"/>
    <w:rsid w:val="00210B6F"/>
    <w:rsid w:val="00245594"/>
    <w:rsid w:val="00287B0C"/>
    <w:rsid w:val="002F46EF"/>
    <w:rsid w:val="002F55A6"/>
    <w:rsid w:val="003057D5"/>
    <w:rsid w:val="0033214E"/>
    <w:rsid w:val="00377339"/>
    <w:rsid w:val="0043435B"/>
    <w:rsid w:val="004676A1"/>
    <w:rsid w:val="00491ED5"/>
    <w:rsid w:val="004A76BA"/>
    <w:rsid w:val="004B1557"/>
    <w:rsid w:val="004D3C62"/>
    <w:rsid w:val="0052791B"/>
    <w:rsid w:val="00534EAA"/>
    <w:rsid w:val="00534FDE"/>
    <w:rsid w:val="00546932"/>
    <w:rsid w:val="0058574C"/>
    <w:rsid w:val="00611345"/>
    <w:rsid w:val="006419A2"/>
    <w:rsid w:val="006653CC"/>
    <w:rsid w:val="006977F4"/>
    <w:rsid w:val="006C79F5"/>
    <w:rsid w:val="00720FD4"/>
    <w:rsid w:val="007A4B1C"/>
    <w:rsid w:val="007B3B4E"/>
    <w:rsid w:val="008101C0"/>
    <w:rsid w:val="00973A9A"/>
    <w:rsid w:val="009D4D18"/>
    <w:rsid w:val="009D6A10"/>
    <w:rsid w:val="00A0185B"/>
    <w:rsid w:val="00A6550A"/>
    <w:rsid w:val="00AB160A"/>
    <w:rsid w:val="00B05BEC"/>
    <w:rsid w:val="00B441AF"/>
    <w:rsid w:val="00B545FB"/>
    <w:rsid w:val="00BB10F6"/>
    <w:rsid w:val="00BE09E6"/>
    <w:rsid w:val="00BE75F7"/>
    <w:rsid w:val="00CC7A21"/>
    <w:rsid w:val="00CF7F57"/>
    <w:rsid w:val="00D14333"/>
    <w:rsid w:val="00D17EA5"/>
    <w:rsid w:val="00D26835"/>
    <w:rsid w:val="00D372F2"/>
    <w:rsid w:val="00D40C31"/>
    <w:rsid w:val="00D61AD0"/>
    <w:rsid w:val="00D84D2B"/>
    <w:rsid w:val="00D95E8D"/>
    <w:rsid w:val="00DD0770"/>
    <w:rsid w:val="00DD5727"/>
    <w:rsid w:val="00E214F3"/>
    <w:rsid w:val="00E45185"/>
    <w:rsid w:val="00E5391D"/>
    <w:rsid w:val="00EE2552"/>
    <w:rsid w:val="00F35D0E"/>
    <w:rsid w:val="00F74F67"/>
    <w:rsid w:val="00FB3CAF"/>
    <w:rsid w:val="00FE76B3"/>
    <w:rsid w:val="00FF2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9581"/>
  <w15:chartTrackingRefBased/>
  <w15:docId w15:val="{D3B5EB80-3963-447D-9914-5C231348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8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48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41AF"/>
    <w:rPr>
      <w:color w:val="0563C1" w:themeColor="hyperlink"/>
      <w:u w:val="single"/>
    </w:rPr>
  </w:style>
  <w:style w:type="character" w:styleId="UnresolvedMention">
    <w:name w:val="Unresolved Mention"/>
    <w:basedOn w:val="DefaultParagraphFont"/>
    <w:uiPriority w:val="99"/>
    <w:semiHidden/>
    <w:unhideWhenUsed/>
    <w:rsid w:val="00B441AF"/>
    <w:rPr>
      <w:color w:val="605E5C"/>
      <w:shd w:val="clear" w:color="auto" w:fill="E1DFDD"/>
    </w:rPr>
  </w:style>
  <w:style w:type="paragraph" w:styleId="ListParagraph">
    <w:name w:val="List Paragraph"/>
    <w:basedOn w:val="Normal"/>
    <w:uiPriority w:val="34"/>
    <w:qFormat/>
    <w:rsid w:val="00142D05"/>
    <w:pPr>
      <w:ind w:left="720"/>
      <w:contextualSpacing/>
    </w:pPr>
  </w:style>
  <w:style w:type="character" w:styleId="FollowedHyperlink">
    <w:name w:val="FollowedHyperlink"/>
    <w:basedOn w:val="DefaultParagraphFont"/>
    <w:uiPriority w:val="99"/>
    <w:semiHidden/>
    <w:unhideWhenUsed/>
    <w:rsid w:val="00491ED5"/>
    <w:rPr>
      <w:color w:val="954F72" w:themeColor="followedHyperlink"/>
      <w:u w:val="single"/>
    </w:rPr>
  </w:style>
  <w:style w:type="character" w:customStyle="1" w:styleId="Heading2Char">
    <w:name w:val="Heading 2 Char"/>
    <w:basedOn w:val="DefaultParagraphFont"/>
    <w:link w:val="Heading2"/>
    <w:uiPriority w:val="9"/>
    <w:rsid w:val="000148F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148F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101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1C0"/>
  </w:style>
  <w:style w:type="paragraph" w:styleId="Footer">
    <w:name w:val="footer"/>
    <w:basedOn w:val="Normal"/>
    <w:link w:val="FooterChar"/>
    <w:uiPriority w:val="99"/>
    <w:unhideWhenUsed/>
    <w:rsid w:val="008101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1C0"/>
  </w:style>
  <w:style w:type="paragraph" w:styleId="Title">
    <w:name w:val="Title"/>
    <w:basedOn w:val="Normal"/>
    <w:next w:val="Normal"/>
    <w:link w:val="TitleChar"/>
    <w:uiPriority w:val="10"/>
    <w:qFormat/>
    <w:rsid w:val="008101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1C0"/>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1F51DC"/>
    <w:pPr>
      <w:outlineLvl w:val="9"/>
    </w:pPr>
    <w:rPr>
      <w:lang w:val="en-US"/>
    </w:rPr>
  </w:style>
  <w:style w:type="paragraph" w:styleId="TOC1">
    <w:name w:val="toc 1"/>
    <w:basedOn w:val="Normal"/>
    <w:next w:val="Normal"/>
    <w:autoRedefine/>
    <w:uiPriority w:val="39"/>
    <w:unhideWhenUsed/>
    <w:rsid w:val="001F51DC"/>
    <w:pPr>
      <w:spacing w:after="100"/>
    </w:pPr>
  </w:style>
  <w:style w:type="paragraph" w:styleId="TOC2">
    <w:name w:val="toc 2"/>
    <w:basedOn w:val="Normal"/>
    <w:next w:val="Normal"/>
    <w:autoRedefine/>
    <w:uiPriority w:val="39"/>
    <w:unhideWhenUsed/>
    <w:rsid w:val="001F51D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0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en/documents/scientific-conclusion/gilenya-h-c-2202-psuv-0023-epar-scientific-conclusions-grounds-recommending-variation-terms_en.pdf" TargetMode="External"/><Relationship Id="rId18" Type="http://schemas.openxmlformats.org/officeDocument/2006/relationships/hyperlink" Target="https://www.ema.europa.eu/en/documents/scientific-conclusion/gilenya-h-c-psusa-00001393-201802-epar-scientific-conclusions-grounds-variation-terms-marketing_en.pdf" TargetMode="External"/><Relationship Id="rId26" Type="http://schemas.openxmlformats.org/officeDocument/2006/relationships/hyperlink" Target="https://www.ema.europa.eu/en/news/european-medicines-agency-update-progressive-multifocal-leukoencephalopathy-pml-tysabri" TargetMode="External"/><Relationship Id="rId39" Type="http://schemas.openxmlformats.org/officeDocument/2006/relationships/hyperlink" Target="https://www.ema.europa.eu/en/documents/scientific-conclusion/ocrevus-h-c-psusa-00010662-201903-epar-scientific-conclusions-grounds-variation-terms-marketing_en.pdf" TargetMode="External"/><Relationship Id="rId21" Type="http://schemas.openxmlformats.org/officeDocument/2006/relationships/hyperlink" Target="https://www.ema.europa.eu/en/documents/procedural-steps-after/rebif-epar-procedural-steps-taken-scientific-information-after-authorisation_en.pdf" TargetMode="External"/><Relationship Id="rId34" Type="http://schemas.openxmlformats.org/officeDocument/2006/relationships/hyperlink" Target="https://www.ema.europa.eu/en/documents/scientific-conclusion/tysabri-epar-scientific-conclusion_en.pdf" TargetMode="External"/><Relationship Id="rId42" Type="http://schemas.openxmlformats.org/officeDocument/2006/relationships/hyperlink" Target="https://www.ema.europa.eu/en/documents/scientific-conclusion/mabthera-h-c-psusa-00002652-202011-epar-scientific-conclusions-grounds-variation-terms-marketing_en.pdf" TargetMode="External"/><Relationship Id="rId47" Type="http://schemas.openxmlformats.org/officeDocument/2006/relationships/fontTable" Target="fontTable.xml"/><Relationship Id="rId7" Type="http://schemas.openxmlformats.org/officeDocument/2006/relationships/hyperlink" Target="https://www.ema.europa.eu/en/medicines/dhpc/gilenya-fingolimod-updated-recommendations-minimise-risk-drug-induced-liver-injury-dili" TargetMode="External"/><Relationship Id="rId2" Type="http://schemas.openxmlformats.org/officeDocument/2006/relationships/styles" Target="styles.xml"/><Relationship Id="rId16" Type="http://schemas.openxmlformats.org/officeDocument/2006/relationships/hyperlink" Target="https://www.ema.europa.eu/en/documents/scientific-conclusion/gilenya-h-c-psusa-00001393-201602-epar-scientific-conclusions-grounds-variation-terms-marketing_en.pdf" TargetMode="External"/><Relationship Id="rId29" Type="http://schemas.openxmlformats.org/officeDocument/2006/relationships/hyperlink" Target="https://www.ema.europa.eu/en/documents/procedural-steps-after/tysabri-epar-procedural-steps-taken-scientific-information-after-authorisation_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a.europa.eu/en/documents/procedural-steps-after/gilenya-epar-procedural-steps-taken-scientific-information-after-authorisation_en.pdf" TargetMode="External"/><Relationship Id="rId24" Type="http://schemas.openxmlformats.org/officeDocument/2006/relationships/hyperlink" Target="https://www.ema.europa.eu/en/news/updated-recommendations-minimise-risk-rare-brain-infection-pml-tysabri" TargetMode="External"/><Relationship Id="rId32" Type="http://schemas.openxmlformats.org/officeDocument/2006/relationships/hyperlink" Target="https://www.ema.europa.eu/en/documents/scientific-conclusion/tysabri-h-c-603-psuv-0062-epar-scientific-conclusions-grounds-recommending-variation-terms-marketing_en.pdf" TargetMode="External"/><Relationship Id="rId37" Type="http://schemas.openxmlformats.org/officeDocument/2006/relationships/hyperlink" Target="https://www.ema.europa.eu/en/documents/procedural-steps-after/ocrevus-epar-procedural-steps-taken-scientific-information-after-authorisation_en.pdf" TargetMode="External"/><Relationship Id="rId40" Type="http://schemas.openxmlformats.org/officeDocument/2006/relationships/hyperlink" Target="https://www.ema.europa.eu/en/documents/scientific-conclusion/ocrevus-h-c-psusa-00010662-202003-epar-scientific-conclusions-grounds-variation-terms-marketing_en.pdf" TargetMode="External"/><Relationship Id="rId45" Type="http://schemas.openxmlformats.org/officeDocument/2006/relationships/hyperlink" Target="https://www.ema.europa.eu/en/documents/variation-report/mayzent-h-c-4712-x-07-epar-assessment-report-variation_en.pdf" TargetMode="External"/><Relationship Id="rId5" Type="http://schemas.openxmlformats.org/officeDocument/2006/relationships/footnotes" Target="footnotes.xml"/><Relationship Id="rId15" Type="http://schemas.openxmlformats.org/officeDocument/2006/relationships/hyperlink" Target="https://www.ema.europa.eu/en/documents/scientific-conclusion/gilenya-h-c-psusa-00001393-201502-epar-scientific-conclusions-grounds-recommending-variation-terms_en.pdf" TargetMode="External"/><Relationship Id="rId23" Type="http://schemas.openxmlformats.org/officeDocument/2006/relationships/hyperlink" Target="https://www.ema.europa.eu/en/news/new-measures-avoid-potentially-fatal-dosing-errors-methotrexate-inflammatory-diseases" TargetMode="External"/><Relationship Id="rId28" Type="http://schemas.openxmlformats.org/officeDocument/2006/relationships/hyperlink" Target="https://www.ema.europa.eu/en/news/european-medicines-agency-recommends-update-product-information-tysabri-risk-progressive-multifocal" TargetMode="External"/><Relationship Id="rId36" Type="http://schemas.openxmlformats.org/officeDocument/2006/relationships/hyperlink" Target="https://www.ema.europa.eu/en/documents/scientific-conclusion/tysabri-h-c-psusa-00002127-202008-epar-scientific-conclusions-grounds-variation-terms-marketing_en.pdf" TargetMode="External"/><Relationship Id="rId10" Type="http://schemas.openxmlformats.org/officeDocument/2006/relationships/hyperlink" Target="https://www.ema.europa.eu/en/news/updated-restrictions-gilenya-multiple-sclerosis-medicine-not-be-used-pregnancy" TargetMode="External"/><Relationship Id="rId19" Type="http://schemas.openxmlformats.org/officeDocument/2006/relationships/hyperlink" Target="https://www.ema.europa.eu/en/documents/scientific-conclusion/gilenya-h-c-psusa-00001393-201902-epar-scientific-conclusions-grounds-variation-terms-marketing_en.pdf" TargetMode="External"/><Relationship Id="rId31" Type="http://schemas.openxmlformats.org/officeDocument/2006/relationships/hyperlink" Target="https://www.ema.europa.eu/en/documents/variation-report/tysabri-h-c-603-a20-0029-epar-assessment-report-article-20_en.pdf" TargetMode="External"/><Relationship Id="rId44" Type="http://schemas.openxmlformats.org/officeDocument/2006/relationships/hyperlink" Target="https://www.ema.europa.eu/en/documents/scientific-conclusion/mayzent-psusa-00010818-202003-epar-scientific-conclusions-grounds-variation-terms-marketing_en.pdf" TargetMode="External"/><Relationship Id="rId4" Type="http://schemas.openxmlformats.org/officeDocument/2006/relationships/webSettings" Target="webSettings.xml"/><Relationship Id="rId9" Type="http://schemas.openxmlformats.org/officeDocument/2006/relationships/hyperlink" Target="https://www.ema.europa.eu/en/news/new-recommendations-minimise-risks-rare-brain-infection-pml-type-skin-cancer-gilenya" TargetMode="External"/><Relationship Id="rId14" Type="http://schemas.openxmlformats.org/officeDocument/2006/relationships/hyperlink" Target="https://www.ema.europa.eu/en/documents/scientific-conclusion/gilenya-h-c-psuv-0027-epar-scientific-conclusions-grounds-recommending-variation-terms-marketing_en.pdf" TargetMode="External"/><Relationship Id="rId22" Type="http://schemas.openxmlformats.org/officeDocument/2006/relationships/hyperlink" Target="https://www.ema.europa.eu/en/documents/procedural-steps-after/betaferon-epar-procedural-steps-taken-scientific-information-after-authorisation_en.pdf" TargetMode="External"/><Relationship Id="rId27" Type="http://schemas.openxmlformats.org/officeDocument/2006/relationships/hyperlink" Target="https://www.ema.europa.eu/en/news/european-medicines-agency-recommends-additional-measures-better-manage-risk-progressive-multifocal" TargetMode="External"/><Relationship Id="rId30" Type="http://schemas.openxmlformats.org/officeDocument/2006/relationships/hyperlink" Target="https://www.ema.europa.eu/en/medicines/human/referrals/tysabri" TargetMode="External"/><Relationship Id="rId35" Type="http://schemas.openxmlformats.org/officeDocument/2006/relationships/hyperlink" Target="https://www.ema.europa.eu/en/documents/scientific-conclusion/tysabri-h-c-psusa-00002127-201908-epar-scientific-conclusions-grounds-variation-terms-marketing_en.pdf" TargetMode="External"/><Relationship Id="rId43" Type="http://schemas.openxmlformats.org/officeDocument/2006/relationships/hyperlink" Target="https://www.ema.europa.eu/en/documents/procedural-steps-after/mayzent-epar-procedural-steps-taken-scientific-information-after-authorisation_en.pdf" TargetMode="External"/><Relationship Id="rId48" Type="http://schemas.openxmlformats.org/officeDocument/2006/relationships/theme" Target="theme/theme1.xml"/><Relationship Id="rId8" Type="http://schemas.openxmlformats.org/officeDocument/2006/relationships/hyperlink" Target="https://www.ema.europa.eu/en/news/european-medicines-agency-gives-new-advice-better-manage-risk-adverse-effects-heart-gilenya" TargetMode="External"/><Relationship Id="rId3" Type="http://schemas.openxmlformats.org/officeDocument/2006/relationships/settings" Target="settings.xml"/><Relationship Id="rId12" Type="http://schemas.openxmlformats.org/officeDocument/2006/relationships/hyperlink" Target="https://www.ema.europa.eu/en/documents/variation-report/gilenya-h-c-2202-a20-0008-epar-assessment-report-article-20_en.pdf" TargetMode="External"/><Relationship Id="rId17" Type="http://schemas.openxmlformats.org/officeDocument/2006/relationships/hyperlink" Target="https://www.ema.europa.eu/en/documents/scientific-conclusion/gilenya-h-c-psusa-00001393-201702-epar-scientific-conclusions-grounds-variation-terms-marketing_en.pdf" TargetMode="External"/><Relationship Id="rId25" Type="http://schemas.openxmlformats.org/officeDocument/2006/relationships/hyperlink" Target="https://www.ema.europa.eu/en/news/ema-confirms-recommendations-minimise-risk-brain-infection-pml-tysabri" TargetMode="External"/><Relationship Id="rId33" Type="http://schemas.openxmlformats.org/officeDocument/2006/relationships/hyperlink" Target="https://www.ema.europa.eu/en/documents/variation-report/tysabri-h-c-603-a20-1416-epar-assessment-report-article-20_en.pdf" TargetMode="External"/><Relationship Id="rId38" Type="http://schemas.openxmlformats.org/officeDocument/2006/relationships/hyperlink" Target="https://www.ema.europa.eu/en/documents/scientific-conclusion/ocrevus-h-c-psusa-00010662-201809-epar-scientific-conclusions-grounds-variation-terms-marketing_en.pdf" TargetMode="External"/><Relationship Id="rId46" Type="http://schemas.openxmlformats.org/officeDocument/2006/relationships/footer" Target="footer1.xml"/><Relationship Id="rId20" Type="http://schemas.openxmlformats.org/officeDocument/2006/relationships/hyperlink" Target="https://www.ema.europa.eu/en/documents/scientific-conclusion/gilenya-h-c-psusa-00001393-202002-epar-scientific-conclusions-grounds-variation-terms-marketing_en.pdf" TargetMode="External"/><Relationship Id="rId41" Type="http://schemas.openxmlformats.org/officeDocument/2006/relationships/hyperlink" Target="https://www.ema.europa.eu/en/documents/procedural-steps-after/mabthera-epar-procedural-steps-taken-scientific-information-after-authorisation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14163</Words>
  <Characters>80730</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Laurson-Doube</dc:creator>
  <cp:keywords/>
  <dc:description/>
  <cp:lastModifiedBy>Joanna Laurson-Doube</cp:lastModifiedBy>
  <cp:revision>2</cp:revision>
  <dcterms:created xsi:type="dcterms:W3CDTF">2022-05-30T02:30:00Z</dcterms:created>
  <dcterms:modified xsi:type="dcterms:W3CDTF">2022-05-30T02:30:00Z</dcterms:modified>
</cp:coreProperties>
</file>